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171"/>
      </w:tblGrid>
      <w:tr w:rsidR="00B03D13" w:rsidRPr="009016B5" w:rsidTr="000E703B">
        <w:trPr>
          <w:trHeight w:val="3786"/>
        </w:trPr>
        <w:tc>
          <w:tcPr>
            <w:tcW w:w="9171" w:type="dxa"/>
            <w:tcBorders>
              <w:top w:val="single" w:sz="24" w:space="0" w:color="auto"/>
              <w:left w:val="single" w:sz="24" w:space="0" w:color="auto"/>
              <w:bottom w:val="single" w:sz="24" w:space="0" w:color="auto"/>
              <w:right w:val="single" w:sz="24" w:space="0" w:color="auto"/>
            </w:tcBorders>
          </w:tcPr>
          <w:p w:rsidR="00B03D13" w:rsidRDefault="00B03D13" w:rsidP="000E703B">
            <w:pPr>
              <w:pStyle w:val="Default"/>
              <w:jc w:val="both"/>
              <w:rPr>
                <w:rFonts w:asciiTheme="minorHAnsi" w:hAnsiTheme="minorHAnsi"/>
                <w:b/>
                <w:bCs/>
                <w:color w:val="auto"/>
                <w:sz w:val="40"/>
                <w:szCs w:val="27"/>
                <w:lang w:val="nl-BE"/>
              </w:rPr>
            </w:pPr>
            <w:r w:rsidRPr="00CB6A7B">
              <w:rPr>
                <w:rFonts w:asciiTheme="minorHAnsi" w:hAnsiTheme="minorHAnsi"/>
                <w:b/>
                <w:bCs/>
                <w:color w:val="auto"/>
                <w:sz w:val="40"/>
                <w:szCs w:val="27"/>
                <w:lang w:val="nl-BE"/>
              </w:rPr>
              <w:t xml:space="preserve">Aangifte in het stelsel van de belasting op afvalstoffen die door het Agentschap niet-selectief worden opgehaald </w:t>
            </w:r>
          </w:p>
          <w:p w:rsidR="00B03D13" w:rsidRDefault="00B03D13" w:rsidP="000E703B">
            <w:pPr>
              <w:pStyle w:val="Default"/>
              <w:jc w:val="both"/>
              <w:rPr>
                <w:rFonts w:asciiTheme="minorHAnsi" w:hAnsiTheme="minorHAnsi"/>
                <w:b/>
                <w:bCs/>
                <w:color w:val="auto"/>
                <w:sz w:val="40"/>
                <w:szCs w:val="27"/>
                <w:lang w:val="nl-BE"/>
              </w:rPr>
            </w:pPr>
          </w:p>
          <w:p w:rsidR="00B03D13" w:rsidRPr="009016B5" w:rsidRDefault="00B03D13" w:rsidP="000E703B">
            <w:pPr>
              <w:pStyle w:val="Default"/>
              <w:jc w:val="both"/>
              <w:rPr>
                <w:rFonts w:asciiTheme="minorHAnsi" w:hAnsiTheme="minorHAnsi"/>
                <w:color w:val="auto"/>
                <w:sz w:val="40"/>
                <w:szCs w:val="27"/>
                <w:lang w:val="nl-BE"/>
              </w:rPr>
            </w:pPr>
            <w:r>
              <w:rPr>
                <w:rFonts w:asciiTheme="minorHAnsi" w:hAnsiTheme="minorHAnsi"/>
                <w:b/>
                <w:bCs/>
                <w:color w:val="auto"/>
                <w:sz w:val="40"/>
                <w:szCs w:val="27"/>
                <w:lang w:val="nl-BE"/>
              </w:rPr>
              <w:t>Voor het belastingjaar …….</w:t>
            </w:r>
          </w:p>
          <w:p w:rsidR="00B03D13" w:rsidRPr="00CB6A7B" w:rsidRDefault="00B03D13" w:rsidP="000E703B">
            <w:pPr>
              <w:pStyle w:val="Default"/>
              <w:jc w:val="both"/>
              <w:rPr>
                <w:rFonts w:asciiTheme="minorHAnsi" w:hAnsiTheme="minorHAnsi"/>
                <w:b/>
                <w:bCs/>
                <w:color w:val="auto"/>
                <w:sz w:val="40"/>
                <w:szCs w:val="27"/>
                <w:lang w:val="nl-BE"/>
              </w:rPr>
            </w:pPr>
          </w:p>
          <w:p w:rsidR="00B03D13" w:rsidRPr="009016B5" w:rsidRDefault="00B03D13" w:rsidP="000E703B">
            <w:pPr>
              <w:spacing w:after="0" w:line="240" w:lineRule="auto"/>
              <w:jc w:val="both"/>
              <w:rPr>
                <w:rFonts w:cs="Arial"/>
                <w:lang w:val="nl-NL"/>
              </w:rPr>
            </w:pPr>
          </w:p>
          <w:tbl>
            <w:tblPr>
              <w:tblpPr w:leftFromText="141" w:rightFromText="141" w:bottomFromText="200" w:vertAnchor="text" w:horzAnchor="page" w:tblpX="7088" w:tblpY="127"/>
              <w:tblW w:w="0" w:type="auto"/>
              <w:tblLook w:val="00A0" w:firstRow="1" w:lastRow="0" w:firstColumn="1" w:lastColumn="0" w:noHBand="0" w:noVBand="0"/>
            </w:tblPr>
            <w:tblGrid>
              <w:gridCol w:w="3494"/>
            </w:tblGrid>
            <w:tr w:rsidR="00B03D13" w:rsidRPr="009016B5" w:rsidTr="000E703B">
              <w:trPr>
                <w:trHeight w:val="1117"/>
              </w:trPr>
              <w:tc>
                <w:tcPr>
                  <w:tcW w:w="3494" w:type="dxa"/>
                </w:tcPr>
                <w:tbl>
                  <w:tblPr>
                    <w:tblpPr w:leftFromText="141" w:rightFromText="141" w:vertAnchor="text" w:horzAnchor="page" w:tblpX="7088" w:tblpY="12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8"/>
                  </w:tblGrid>
                  <w:tr w:rsidR="00B03D13" w:rsidRPr="009016B5" w:rsidTr="000E703B">
                    <w:trPr>
                      <w:trHeight w:val="1117"/>
                    </w:trPr>
                    <w:tc>
                      <w:tcPr>
                        <w:tcW w:w="3494" w:type="dxa"/>
                      </w:tcPr>
                      <w:p w:rsidR="00B03D13" w:rsidRPr="003C62D0" w:rsidRDefault="00B03D13" w:rsidP="00B03D13">
                        <w:pPr>
                          <w:pStyle w:val="Paragraphedeliste"/>
                          <w:ind w:left="0"/>
                          <w:jc w:val="both"/>
                          <w:rPr>
                            <w:rFonts w:asciiTheme="minorHAnsi" w:eastAsia="Times New Roman" w:hAnsiTheme="minorHAnsi"/>
                            <w:noProof/>
                            <w:sz w:val="17"/>
                            <w:szCs w:val="17"/>
                            <w:lang w:val="nl-BE" w:eastAsia="fr-BE"/>
                          </w:rPr>
                        </w:pPr>
                        <w:r w:rsidRPr="003C62D0">
                          <w:rPr>
                            <w:rFonts w:asciiTheme="minorHAnsi" w:eastAsia="Times New Roman" w:hAnsiTheme="minorHAnsi"/>
                            <w:noProof/>
                            <w:sz w:val="17"/>
                            <w:szCs w:val="17"/>
                            <w:lang w:val="nl-BE" w:eastAsia="fr-BE"/>
                          </w:rPr>
                          <w:t xml:space="preserve">Leefmilieu Brussel – </w:t>
                        </w:r>
                      </w:p>
                      <w:p w:rsidR="00B03D13" w:rsidRPr="003C62D0" w:rsidRDefault="00B03D13" w:rsidP="00B03D13">
                        <w:pPr>
                          <w:pStyle w:val="Paragraphedeliste"/>
                          <w:spacing w:after="0" w:line="240" w:lineRule="auto"/>
                          <w:ind w:left="0"/>
                          <w:jc w:val="both"/>
                          <w:rPr>
                            <w:rFonts w:asciiTheme="minorHAnsi" w:eastAsia="Times New Roman" w:hAnsiTheme="minorHAnsi"/>
                            <w:i/>
                            <w:noProof/>
                            <w:sz w:val="17"/>
                            <w:szCs w:val="17"/>
                            <w:lang w:val="nl-BE" w:eastAsia="fr-BE"/>
                          </w:rPr>
                        </w:pPr>
                        <w:r w:rsidRPr="003C62D0">
                          <w:rPr>
                            <w:rFonts w:asciiTheme="minorHAnsi" w:eastAsia="Times New Roman" w:hAnsiTheme="minorHAnsi"/>
                            <w:i/>
                            <w:noProof/>
                            <w:sz w:val="17"/>
                            <w:szCs w:val="17"/>
                            <w:lang w:val="nl-BE" w:eastAsia="fr-BE"/>
                          </w:rPr>
                          <w:t>Site van Thurn &amp; Taxis</w:t>
                        </w:r>
                      </w:p>
                      <w:p w:rsidR="00B03D13" w:rsidRDefault="00B03D13" w:rsidP="00B03D13">
                        <w:pPr>
                          <w:pStyle w:val="Paragraphedeliste"/>
                          <w:spacing w:after="0" w:line="240" w:lineRule="auto"/>
                          <w:ind w:left="0"/>
                          <w:jc w:val="both"/>
                          <w:rPr>
                            <w:rFonts w:asciiTheme="minorHAnsi" w:eastAsia="Times New Roman" w:hAnsiTheme="minorHAnsi"/>
                            <w:i/>
                            <w:noProof/>
                            <w:sz w:val="17"/>
                            <w:szCs w:val="17"/>
                            <w:lang w:eastAsia="fr-BE"/>
                          </w:rPr>
                        </w:pPr>
                        <w:r>
                          <w:rPr>
                            <w:rFonts w:asciiTheme="minorHAnsi" w:eastAsia="Times New Roman" w:hAnsiTheme="minorHAnsi"/>
                            <w:i/>
                            <w:noProof/>
                            <w:sz w:val="17"/>
                            <w:szCs w:val="17"/>
                            <w:lang w:eastAsia="fr-BE"/>
                          </w:rPr>
                          <w:t>Havenlaan 86C/3000</w:t>
                        </w:r>
                      </w:p>
                      <w:p w:rsidR="00B03D13" w:rsidRPr="009016B5" w:rsidRDefault="00B03D13" w:rsidP="00B03D13">
                        <w:pPr>
                          <w:pStyle w:val="Paragraphedeliste"/>
                          <w:ind w:left="0"/>
                          <w:jc w:val="both"/>
                          <w:rPr>
                            <w:rFonts w:asciiTheme="minorHAnsi" w:hAnsiTheme="minorHAnsi" w:cs="Arial"/>
                          </w:rPr>
                        </w:pPr>
                        <w:r>
                          <w:rPr>
                            <w:rFonts w:asciiTheme="minorHAnsi" w:eastAsia="Times New Roman" w:hAnsiTheme="minorHAnsi"/>
                            <w:i/>
                            <w:noProof/>
                            <w:sz w:val="17"/>
                            <w:szCs w:val="17"/>
                            <w:lang w:eastAsia="fr-BE"/>
                          </w:rPr>
                          <w:t>1000 Brussel</w:t>
                        </w:r>
                      </w:p>
                    </w:tc>
                  </w:tr>
                </w:tbl>
                <w:p w:rsidR="00B03D13" w:rsidRPr="009016B5" w:rsidRDefault="00B03D13" w:rsidP="000E703B">
                  <w:pPr>
                    <w:pStyle w:val="Paragraphedeliste"/>
                    <w:ind w:left="0"/>
                    <w:jc w:val="both"/>
                    <w:rPr>
                      <w:rFonts w:asciiTheme="minorHAnsi" w:hAnsiTheme="minorHAnsi" w:cs="Arial"/>
                      <w:lang w:val="nl-NL"/>
                    </w:rPr>
                  </w:pPr>
                </w:p>
              </w:tc>
            </w:tr>
          </w:tbl>
          <w:p w:rsidR="00B03D13" w:rsidRPr="009016B5" w:rsidRDefault="00B03D13" w:rsidP="000E703B">
            <w:pPr>
              <w:pStyle w:val="Paragraphedeliste"/>
              <w:numPr>
                <w:ilvl w:val="0"/>
                <w:numId w:val="1"/>
              </w:numPr>
              <w:spacing w:after="0" w:line="240" w:lineRule="auto"/>
              <w:jc w:val="both"/>
              <w:rPr>
                <w:rFonts w:asciiTheme="minorHAnsi" w:hAnsiTheme="minorHAnsi" w:cs="Arial"/>
                <w:lang w:val="nl-NL"/>
              </w:rPr>
            </w:pPr>
            <w:r w:rsidRPr="009016B5">
              <w:rPr>
                <w:rFonts w:asciiTheme="minorHAnsi" w:hAnsiTheme="minorHAnsi" w:cs="Arial"/>
                <w:b/>
                <w:lang w:val="nl-NL"/>
              </w:rPr>
              <w:t xml:space="preserve">Instructies voor de gebruiker </w:t>
            </w:r>
            <w:r w:rsidRPr="009016B5">
              <w:rPr>
                <w:rFonts w:asciiTheme="minorHAnsi" w:hAnsiTheme="minorHAnsi" w:cs="Arial"/>
                <w:lang w:val="nl-NL"/>
              </w:rPr>
              <w:t xml:space="preserve">De regelgeving bepaalt dat de naar behoren ingevulde, correct verklaarde, gedateerde en ondertekende aangifte aan de dienst van </w:t>
            </w:r>
            <w:r>
              <w:rPr>
                <w:rFonts w:asciiTheme="minorHAnsi" w:hAnsiTheme="minorHAnsi" w:cs="Arial"/>
                <w:lang w:val="nl-NL"/>
              </w:rPr>
              <w:t xml:space="preserve">Leefmilieu Brussel </w:t>
            </w:r>
            <w:r w:rsidRPr="009016B5">
              <w:rPr>
                <w:rFonts w:asciiTheme="minorHAnsi" w:hAnsiTheme="minorHAnsi" w:cs="Arial"/>
                <w:lang w:val="nl-NL"/>
              </w:rPr>
              <w:t>.</w:t>
            </w:r>
          </w:p>
          <w:p w:rsidR="00B03D13" w:rsidRPr="009016B5" w:rsidRDefault="00B03D13" w:rsidP="000E703B">
            <w:pPr>
              <w:pStyle w:val="Paragraphedeliste"/>
              <w:numPr>
                <w:ilvl w:val="0"/>
                <w:numId w:val="1"/>
              </w:numPr>
              <w:spacing w:after="0" w:line="240" w:lineRule="auto"/>
              <w:jc w:val="both"/>
              <w:rPr>
                <w:rFonts w:asciiTheme="minorHAnsi" w:hAnsiTheme="minorHAnsi" w:cs="Arial"/>
                <w:lang w:val="nl-NL"/>
              </w:rPr>
            </w:pPr>
            <w:r w:rsidRPr="009016B5">
              <w:rPr>
                <w:rFonts w:asciiTheme="minorHAnsi" w:hAnsiTheme="minorHAnsi" w:cs="Arial"/>
                <w:b/>
                <w:lang w:val="nl-NL"/>
              </w:rPr>
              <w:t>Voor meer informatie: contactgegevens van Leefmilieu Brussel</w:t>
            </w:r>
          </w:p>
          <w:p w:rsidR="00B03D13" w:rsidRPr="009016B5" w:rsidRDefault="00B03D13" w:rsidP="000E703B">
            <w:pPr>
              <w:pStyle w:val="Default"/>
              <w:spacing w:line="276" w:lineRule="auto"/>
              <w:jc w:val="both"/>
              <w:rPr>
                <w:rFonts w:asciiTheme="minorHAnsi" w:hAnsiTheme="minorHAnsi"/>
                <w:i/>
                <w:iCs/>
                <w:color w:val="auto"/>
                <w:sz w:val="22"/>
                <w:szCs w:val="22"/>
                <w:lang w:val="nl-NL"/>
              </w:rPr>
            </w:pPr>
          </w:p>
          <w:p w:rsidR="00B03D13" w:rsidRPr="009016B5" w:rsidRDefault="00B03D13" w:rsidP="000E703B">
            <w:pPr>
              <w:pStyle w:val="Default"/>
              <w:spacing w:line="276" w:lineRule="auto"/>
              <w:jc w:val="both"/>
              <w:rPr>
                <w:rFonts w:asciiTheme="minorHAnsi" w:hAnsiTheme="minorHAnsi"/>
                <w:i/>
                <w:iCs/>
                <w:color w:val="auto"/>
                <w:sz w:val="22"/>
                <w:szCs w:val="22"/>
                <w:u w:val="single"/>
                <w:lang w:val="nl-NL"/>
              </w:rPr>
            </w:pPr>
            <w:r w:rsidRPr="009016B5">
              <w:rPr>
                <w:rFonts w:asciiTheme="minorHAnsi" w:hAnsiTheme="minorHAnsi"/>
                <w:i/>
                <w:color w:val="auto"/>
                <w:sz w:val="22"/>
                <w:u w:val="single"/>
                <w:lang w:val="nl-NL"/>
              </w:rPr>
              <w:t xml:space="preserve">Wettelijke basis: </w:t>
            </w:r>
          </w:p>
          <w:p w:rsidR="00B03D13" w:rsidRPr="009016B5" w:rsidRDefault="00B03D13" w:rsidP="000E703B">
            <w:pPr>
              <w:pStyle w:val="Default"/>
              <w:spacing w:line="276" w:lineRule="auto"/>
              <w:jc w:val="both"/>
              <w:rPr>
                <w:rFonts w:asciiTheme="minorHAnsi" w:hAnsiTheme="minorHAnsi"/>
                <w:i/>
                <w:iCs/>
                <w:color w:val="auto"/>
                <w:sz w:val="22"/>
                <w:szCs w:val="22"/>
                <w:lang w:val="nl-NL"/>
              </w:rPr>
            </w:pPr>
          </w:p>
          <w:p w:rsidR="00B03D13" w:rsidRPr="009016B5" w:rsidRDefault="00B03D13" w:rsidP="000E703B">
            <w:pPr>
              <w:pStyle w:val="Default"/>
              <w:numPr>
                <w:ilvl w:val="0"/>
                <w:numId w:val="1"/>
              </w:numPr>
              <w:spacing w:line="276" w:lineRule="auto"/>
              <w:jc w:val="both"/>
              <w:rPr>
                <w:rFonts w:asciiTheme="minorHAnsi" w:hAnsiTheme="minorHAnsi"/>
                <w:color w:val="auto"/>
                <w:sz w:val="22"/>
                <w:szCs w:val="22"/>
                <w:lang w:val="nl-NL"/>
              </w:rPr>
            </w:pPr>
            <w:r w:rsidRPr="009016B5">
              <w:rPr>
                <w:rFonts w:asciiTheme="minorHAnsi" w:hAnsiTheme="minorHAnsi"/>
                <w:i/>
                <w:color w:val="auto"/>
                <w:sz w:val="22"/>
                <w:lang w:val="nl-NL"/>
              </w:rPr>
              <w:t>Artikelen 41 en 44 van de ordonnantie van 14 juni 2012 betreffende  afvalstoffen.</w:t>
            </w:r>
          </w:p>
          <w:p w:rsidR="00B03D13" w:rsidRPr="009016B5" w:rsidRDefault="00B03D13" w:rsidP="000E703B">
            <w:pPr>
              <w:pStyle w:val="Default"/>
              <w:spacing w:line="276" w:lineRule="auto"/>
              <w:jc w:val="both"/>
              <w:rPr>
                <w:rFonts w:asciiTheme="minorHAnsi" w:hAnsiTheme="minorHAnsi"/>
                <w:b/>
                <w:bCs/>
                <w:color w:val="auto"/>
                <w:sz w:val="22"/>
                <w:szCs w:val="22"/>
                <w:lang w:val="nl-NL"/>
              </w:rPr>
            </w:pPr>
            <w:r w:rsidRPr="009016B5">
              <w:rPr>
                <w:rFonts w:asciiTheme="minorHAnsi" w:hAnsiTheme="minorHAnsi"/>
                <w:b/>
                <w:color w:val="auto"/>
                <w:sz w:val="22"/>
                <w:lang w:val="nl-NL"/>
              </w:rPr>
              <w:t>Administratieve gegevens:</w:t>
            </w:r>
          </w:p>
          <w:p w:rsidR="00B03D13" w:rsidRPr="009016B5" w:rsidRDefault="00B03D13" w:rsidP="00B03D13">
            <w:pPr>
              <w:pStyle w:val="Default"/>
              <w:keepNext/>
              <w:numPr>
                <w:ilvl w:val="0"/>
                <w:numId w:val="2"/>
              </w:numPr>
              <w:spacing w:before="240" w:after="60" w:line="276" w:lineRule="auto"/>
              <w:jc w:val="both"/>
              <w:rPr>
                <w:rFonts w:asciiTheme="minorHAnsi" w:hAnsiTheme="minorHAnsi"/>
                <w:b/>
                <w:bCs/>
                <w:color w:val="auto"/>
                <w:sz w:val="22"/>
                <w:szCs w:val="22"/>
                <w:lang w:val="nl-NL"/>
              </w:rPr>
            </w:pPr>
            <w:r w:rsidRPr="009016B5">
              <w:rPr>
                <w:rFonts w:asciiTheme="minorHAnsi" w:hAnsiTheme="minorHAnsi"/>
                <w:i/>
                <w:color w:val="auto"/>
                <w:sz w:val="22"/>
                <w:lang w:val="nl-NL"/>
              </w:rPr>
              <w:t>Dossiernummer:…………</w:t>
            </w:r>
          </w:p>
          <w:p w:rsidR="00B03D13" w:rsidRPr="009016B5" w:rsidRDefault="00B03D13" w:rsidP="000E703B">
            <w:pPr>
              <w:pStyle w:val="Default"/>
              <w:spacing w:line="276" w:lineRule="auto"/>
              <w:ind w:left="720"/>
              <w:jc w:val="both"/>
              <w:rPr>
                <w:rFonts w:asciiTheme="minorHAnsi" w:hAnsiTheme="minorHAnsi"/>
                <w:b/>
                <w:bCs/>
                <w:color w:val="auto"/>
                <w:sz w:val="22"/>
                <w:szCs w:val="22"/>
                <w:lang w:val="nl-NL"/>
              </w:rPr>
            </w:pPr>
          </w:p>
        </w:tc>
      </w:tr>
    </w:tbl>
    <w:p w:rsidR="00B03D13" w:rsidRPr="009016B5" w:rsidRDefault="00B03D13" w:rsidP="00B03D13">
      <w:pPr>
        <w:jc w:val="both"/>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03D13" w:rsidRPr="009016B5" w:rsidTr="000E703B">
        <w:tc>
          <w:tcPr>
            <w:tcW w:w="9062"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Default"/>
              <w:spacing w:line="276" w:lineRule="auto"/>
              <w:jc w:val="both"/>
              <w:rPr>
                <w:rFonts w:asciiTheme="minorHAnsi" w:hAnsiTheme="minorHAnsi"/>
                <w:b/>
                <w:bCs/>
                <w:color w:val="auto"/>
                <w:sz w:val="22"/>
                <w:szCs w:val="22"/>
                <w:u w:val="single"/>
                <w:lang w:val="nl-NL"/>
              </w:rPr>
            </w:pPr>
            <w:r w:rsidRPr="009016B5">
              <w:rPr>
                <w:rFonts w:asciiTheme="minorHAnsi" w:hAnsiTheme="minorHAnsi"/>
                <w:b/>
                <w:color w:val="auto"/>
                <w:sz w:val="22"/>
                <w:u w:val="single"/>
                <w:lang w:val="nl-NL"/>
              </w:rPr>
              <w:t xml:space="preserve">Kader voorbehouden voor de administratie </w:t>
            </w:r>
          </w:p>
          <w:p w:rsidR="00B03D13" w:rsidRPr="009016B5" w:rsidRDefault="00B03D13" w:rsidP="000E703B">
            <w:pPr>
              <w:pStyle w:val="Paragraphedeliste"/>
              <w:spacing w:after="0" w:line="240" w:lineRule="auto"/>
              <w:ind w:left="0"/>
              <w:jc w:val="both"/>
              <w:rPr>
                <w:rFonts w:asciiTheme="minorHAnsi" w:hAnsiTheme="minorHAnsi" w:cs="Arial"/>
                <w:lang w:val="nl-NL"/>
              </w:rPr>
            </w:pPr>
          </w:p>
          <w:p w:rsidR="00B03D13" w:rsidRPr="009016B5" w:rsidRDefault="00B03D13" w:rsidP="000E703B">
            <w:pPr>
              <w:pStyle w:val="Paragraphedeliste"/>
              <w:spacing w:after="0" w:line="240" w:lineRule="auto"/>
              <w:ind w:left="0"/>
              <w:jc w:val="both"/>
              <w:rPr>
                <w:rFonts w:asciiTheme="minorHAnsi" w:hAnsiTheme="minorHAnsi" w:cs="Arial"/>
                <w:lang w:val="nl-NL"/>
              </w:rPr>
            </w:pPr>
            <w:r w:rsidRPr="009016B5">
              <w:rPr>
                <w:rFonts w:asciiTheme="minorHAnsi" w:hAnsiTheme="minorHAnsi" w:cs="Arial"/>
                <w:lang w:val="nl-NL"/>
              </w:rPr>
              <w:t xml:space="preserve">VISUM (stempel </w:t>
            </w:r>
            <w:r>
              <w:rPr>
                <w:rFonts w:asciiTheme="minorHAnsi" w:hAnsiTheme="minorHAnsi" w:cs="Arial"/>
                <w:lang w:val="nl-NL"/>
              </w:rPr>
              <w:t>L</w:t>
            </w:r>
            <w:r w:rsidRPr="009016B5">
              <w:rPr>
                <w:rFonts w:asciiTheme="minorHAnsi" w:hAnsiTheme="minorHAnsi" w:cs="Arial"/>
                <w:lang w:val="nl-NL"/>
              </w:rPr>
              <w:t>B + Datum)</w:t>
            </w:r>
          </w:p>
          <w:p w:rsidR="00B03D13" w:rsidRPr="009016B5" w:rsidRDefault="00B03D13" w:rsidP="000E703B">
            <w:pPr>
              <w:pStyle w:val="Paragraphedeliste"/>
              <w:spacing w:after="0" w:line="240" w:lineRule="auto"/>
              <w:ind w:left="0"/>
              <w:jc w:val="both"/>
              <w:rPr>
                <w:rFonts w:asciiTheme="minorHAnsi" w:hAnsiTheme="minorHAnsi" w:cs="Arial"/>
                <w:lang w:val="nl-NL"/>
              </w:rPr>
            </w:pPr>
          </w:p>
          <w:p w:rsidR="00B03D13" w:rsidRPr="009016B5" w:rsidRDefault="00B03D13" w:rsidP="000E703B">
            <w:pPr>
              <w:pStyle w:val="Paragraphedeliste"/>
              <w:spacing w:after="0" w:line="240" w:lineRule="auto"/>
              <w:ind w:left="0"/>
              <w:jc w:val="both"/>
              <w:rPr>
                <w:rFonts w:asciiTheme="minorHAnsi" w:hAnsiTheme="minorHAnsi" w:cs="Arial"/>
                <w:lang w:val="nl-NL"/>
              </w:rPr>
            </w:pPr>
          </w:p>
          <w:p w:rsidR="00B03D13" w:rsidRPr="009016B5" w:rsidRDefault="00B03D13" w:rsidP="000E703B">
            <w:pPr>
              <w:pStyle w:val="Paragraphedeliste"/>
              <w:spacing w:after="0" w:line="240" w:lineRule="auto"/>
              <w:ind w:left="0"/>
              <w:jc w:val="both"/>
              <w:rPr>
                <w:rFonts w:asciiTheme="minorHAnsi" w:hAnsiTheme="minorHAnsi" w:cs="Arial"/>
                <w:lang w:val="nl-NL"/>
              </w:rPr>
            </w:pPr>
          </w:p>
          <w:p w:rsidR="00B03D13" w:rsidRPr="009016B5" w:rsidRDefault="00B03D13" w:rsidP="000E703B">
            <w:pPr>
              <w:pStyle w:val="Paragraphedeliste"/>
              <w:spacing w:after="0" w:line="240" w:lineRule="auto"/>
              <w:ind w:left="0"/>
              <w:jc w:val="both"/>
              <w:rPr>
                <w:rFonts w:asciiTheme="minorHAnsi" w:hAnsiTheme="minorHAnsi" w:cs="Arial"/>
                <w:lang w:val="nl-NL"/>
              </w:rPr>
            </w:pPr>
          </w:p>
          <w:p w:rsidR="00B03D13" w:rsidRPr="009016B5" w:rsidRDefault="00B03D13" w:rsidP="000E703B">
            <w:pPr>
              <w:pStyle w:val="Paragraphedeliste"/>
              <w:spacing w:after="0" w:line="240" w:lineRule="auto"/>
              <w:ind w:left="0"/>
              <w:jc w:val="both"/>
              <w:rPr>
                <w:rFonts w:asciiTheme="minorHAnsi" w:hAnsiTheme="minorHAnsi" w:cs="Arial"/>
                <w:lang w:val="nl-NL"/>
              </w:rPr>
            </w:pPr>
          </w:p>
          <w:p w:rsidR="00B03D13" w:rsidRPr="009016B5" w:rsidRDefault="00B03D13" w:rsidP="000E703B">
            <w:pPr>
              <w:pStyle w:val="Default"/>
              <w:spacing w:line="276" w:lineRule="auto"/>
              <w:jc w:val="both"/>
              <w:rPr>
                <w:rFonts w:asciiTheme="minorHAnsi" w:hAnsiTheme="minorHAnsi"/>
                <w:b/>
                <w:bCs/>
                <w:color w:val="auto"/>
                <w:sz w:val="22"/>
                <w:szCs w:val="22"/>
                <w:lang w:val="nl-NL"/>
              </w:rPr>
            </w:pPr>
          </w:p>
        </w:tc>
      </w:tr>
    </w:tbl>
    <w:p w:rsidR="00B03D13" w:rsidRDefault="00B03D13" w:rsidP="00B03D13">
      <w:pPr>
        <w:pStyle w:val="Default"/>
        <w:jc w:val="both"/>
        <w:outlineLvl w:val="0"/>
        <w:rPr>
          <w:rFonts w:asciiTheme="minorHAnsi" w:hAnsiTheme="minorHAnsi"/>
          <w:b/>
          <w:color w:val="auto"/>
          <w:sz w:val="22"/>
          <w:u w:val="single"/>
          <w:lang w:val="nl-NL"/>
        </w:rPr>
      </w:pPr>
    </w:p>
    <w:p w:rsidR="00B03D13" w:rsidRPr="009016B5" w:rsidRDefault="00B03D13" w:rsidP="00B03D13">
      <w:pPr>
        <w:pStyle w:val="Default"/>
        <w:jc w:val="both"/>
        <w:outlineLvl w:val="0"/>
        <w:rPr>
          <w:rFonts w:asciiTheme="minorHAnsi" w:hAnsiTheme="minorHAnsi"/>
          <w:b/>
          <w:bCs/>
          <w:color w:val="auto"/>
          <w:sz w:val="22"/>
          <w:szCs w:val="22"/>
          <w:u w:val="single"/>
          <w:lang w:val="nl-NL"/>
        </w:rPr>
      </w:pPr>
      <w:r w:rsidRPr="009016B5">
        <w:rPr>
          <w:rFonts w:asciiTheme="minorHAnsi" w:hAnsiTheme="minorHAnsi"/>
          <w:b/>
          <w:color w:val="auto"/>
          <w:sz w:val="22"/>
          <w:u w:val="single"/>
          <w:lang w:val="nl-NL"/>
        </w:rPr>
        <w:t>In te vullen door de aangever</w:t>
      </w:r>
    </w:p>
    <w:p w:rsidR="00B03D13" w:rsidRPr="009016B5" w:rsidRDefault="00B03D13" w:rsidP="00B03D13">
      <w:pPr>
        <w:pStyle w:val="Default"/>
        <w:jc w:val="both"/>
        <w:rPr>
          <w:rFonts w:asciiTheme="minorHAnsi" w:hAnsiTheme="minorHAnsi"/>
          <w:b/>
          <w:bCs/>
          <w:color w:val="auto"/>
          <w:sz w:val="22"/>
          <w:szCs w:val="22"/>
          <w:lang w:val="nl-NL"/>
        </w:rPr>
      </w:pPr>
    </w:p>
    <w:p w:rsidR="00B03D13" w:rsidRPr="009016B5" w:rsidRDefault="00B03D13" w:rsidP="00B03D13">
      <w:pPr>
        <w:pStyle w:val="Paragraphedeliste"/>
        <w:numPr>
          <w:ilvl w:val="0"/>
          <w:numId w:val="3"/>
        </w:numPr>
        <w:autoSpaceDE w:val="0"/>
        <w:autoSpaceDN w:val="0"/>
        <w:adjustRightInd w:val="0"/>
        <w:jc w:val="both"/>
        <w:rPr>
          <w:rFonts w:asciiTheme="minorHAnsi" w:hAnsiTheme="minorHAnsi" w:cs="Arial"/>
          <w:b/>
          <w:bCs/>
          <w:i/>
          <w:iCs/>
          <w:lang w:val="nl-NL"/>
        </w:rPr>
      </w:pPr>
      <w:r w:rsidRPr="009016B5">
        <w:rPr>
          <w:rFonts w:asciiTheme="minorHAnsi" w:hAnsiTheme="minorHAnsi" w:cs="Arial"/>
          <w:b/>
          <w:i/>
          <w:lang w:val="nl-NL"/>
        </w:rPr>
        <w:t>Identiteit van de aangever</w:t>
      </w:r>
    </w:p>
    <w:p w:rsidR="00B03D13" w:rsidRPr="009016B5" w:rsidRDefault="00B03D13" w:rsidP="00B03D13">
      <w:pPr>
        <w:pStyle w:val="Paragraphedeliste"/>
        <w:jc w:val="both"/>
        <w:rPr>
          <w:rFonts w:asciiTheme="minorHAnsi" w:hAnsiTheme="minorHAnsi" w:cs="Arial"/>
          <w:lang w:val="nl-NL"/>
        </w:rPr>
      </w:pP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 xml:space="preserve">Ondernemingsnummer: </w:t>
      </w:r>
      <w:r>
        <w:rPr>
          <w:rFonts w:asciiTheme="minorHAnsi" w:hAnsiTheme="minorHAnsi" w:cs="Arial"/>
          <w:lang w:val="nl-NL"/>
        </w:rPr>
        <w:t>…………………………………….</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Naam van het</w:t>
      </w:r>
      <w:r>
        <w:rPr>
          <w:rFonts w:asciiTheme="minorHAnsi" w:hAnsiTheme="minorHAnsi" w:cs="Arial"/>
          <w:lang w:val="nl-NL"/>
        </w:rPr>
        <w:t xml:space="preserve"> onderneming</w:t>
      </w:r>
      <w:r w:rsidRPr="009016B5">
        <w:rPr>
          <w:rFonts w:asciiTheme="minorHAnsi" w:hAnsiTheme="minorHAnsi" w:cs="Arial"/>
          <w:lang w:val="nl-NL"/>
        </w:rPr>
        <w:t xml:space="preserve">: </w:t>
      </w:r>
      <w:r>
        <w:rPr>
          <w:rFonts w:asciiTheme="minorHAnsi" w:hAnsiTheme="minorHAnsi" w:cs="Arial"/>
          <w:lang w:val="nl-NL"/>
        </w:rPr>
        <w:t>…………………………………….</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Maatschappelijke zetel van het</w:t>
      </w:r>
      <w:r>
        <w:rPr>
          <w:rFonts w:asciiTheme="minorHAnsi" w:hAnsiTheme="minorHAnsi" w:cs="Arial"/>
          <w:lang w:val="nl-NL"/>
        </w:rPr>
        <w:t xml:space="preserve"> onderneming</w:t>
      </w:r>
      <w:r w:rsidRPr="009016B5">
        <w:rPr>
          <w:rFonts w:asciiTheme="minorHAnsi" w:hAnsiTheme="minorHAnsi" w:cs="Arial"/>
          <w:lang w:val="nl-NL"/>
        </w:rPr>
        <w:t>: ……………………………………………..</w:t>
      </w:r>
    </w:p>
    <w:p w:rsidR="00B03D13" w:rsidRPr="009016B5" w:rsidRDefault="00B03D13" w:rsidP="00B03D13">
      <w:pPr>
        <w:pStyle w:val="Paragraphedeliste"/>
        <w:numPr>
          <w:ilvl w:val="1"/>
          <w:numId w:val="4"/>
        </w:numPr>
        <w:autoSpaceDE w:val="0"/>
        <w:autoSpaceDN w:val="0"/>
        <w:adjustRightInd w:val="0"/>
        <w:jc w:val="both"/>
        <w:rPr>
          <w:rFonts w:asciiTheme="minorHAnsi" w:hAnsiTheme="minorHAnsi" w:cs="Arial"/>
          <w:lang w:val="nl-NL"/>
        </w:rPr>
      </w:pPr>
      <w:r w:rsidRPr="009016B5">
        <w:rPr>
          <w:rFonts w:asciiTheme="minorHAnsi" w:hAnsiTheme="minorHAnsi" w:cs="Arial"/>
          <w:lang w:val="nl-NL"/>
        </w:rPr>
        <w:t>Straat:</w:t>
      </w:r>
      <w:r w:rsidRPr="009016B5">
        <w:rPr>
          <w:rFonts w:asciiTheme="minorHAnsi" w:hAnsiTheme="minorHAnsi" w:cs="Arial"/>
          <w:lang w:val="nl-NL"/>
        </w:rPr>
        <w:tab/>
      </w:r>
      <w:r>
        <w:rPr>
          <w:rFonts w:asciiTheme="minorHAnsi" w:hAnsiTheme="minorHAnsi" w:cs="Arial"/>
          <w:lang w:val="nl-NL"/>
        </w:rPr>
        <w:t>………………</w:t>
      </w:r>
      <w:r w:rsidRPr="009016B5">
        <w:rPr>
          <w:rFonts w:asciiTheme="minorHAnsi" w:hAnsiTheme="minorHAnsi" w:cs="Arial"/>
          <w:lang w:val="nl-NL"/>
        </w:rPr>
        <w:t>Nr.:</w:t>
      </w:r>
      <w:r>
        <w:rPr>
          <w:rFonts w:asciiTheme="minorHAnsi" w:hAnsiTheme="minorHAnsi" w:cs="Arial"/>
          <w:lang w:val="nl-NL"/>
        </w:rPr>
        <w:t>………………</w:t>
      </w:r>
      <w:r w:rsidRPr="009016B5">
        <w:rPr>
          <w:rFonts w:asciiTheme="minorHAnsi" w:hAnsiTheme="minorHAnsi" w:cs="Arial"/>
          <w:lang w:val="nl-NL"/>
        </w:rPr>
        <w:t xml:space="preserve">Bus: </w:t>
      </w:r>
      <w:r>
        <w:rPr>
          <w:rFonts w:asciiTheme="minorHAnsi" w:hAnsiTheme="minorHAnsi" w:cs="Arial"/>
          <w:lang w:val="nl-NL"/>
        </w:rPr>
        <w:t>………………</w:t>
      </w:r>
    </w:p>
    <w:p w:rsidR="00B03D13" w:rsidRPr="009016B5" w:rsidRDefault="00B03D13" w:rsidP="00B03D13">
      <w:pPr>
        <w:pStyle w:val="Paragraphedeliste"/>
        <w:numPr>
          <w:ilvl w:val="1"/>
          <w:numId w:val="4"/>
        </w:numPr>
        <w:autoSpaceDE w:val="0"/>
        <w:autoSpaceDN w:val="0"/>
        <w:adjustRightInd w:val="0"/>
        <w:jc w:val="both"/>
        <w:rPr>
          <w:rFonts w:asciiTheme="minorHAnsi" w:hAnsiTheme="minorHAnsi" w:cs="Arial"/>
          <w:lang w:val="nl-NL"/>
        </w:rPr>
      </w:pPr>
      <w:r w:rsidRPr="009016B5">
        <w:rPr>
          <w:rFonts w:asciiTheme="minorHAnsi" w:hAnsiTheme="minorHAnsi" w:cs="Arial"/>
          <w:lang w:val="nl-NL"/>
        </w:rPr>
        <w:t>Postcode</w:t>
      </w:r>
      <w:r>
        <w:rPr>
          <w:rFonts w:asciiTheme="minorHAnsi" w:hAnsiTheme="minorHAnsi" w:cs="Arial"/>
          <w:lang w:val="nl-NL"/>
        </w:rPr>
        <w:t>:</w:t>
      </w:r>
      <w:r w:rsidRPr="009016B5">
        <w:rPr>
          <w:rFonts w:asciiTheme="minorHAnsi" w:hAnsiTheme="minorHAnsi" w:cs="Arial"/>
          <w:lang w:val="nl-NL"/>
        </w:rPr>
        <w:t>…………………Plaats:</w:t>
      </w:r>
      <w:r>
        <w:rPr>
          <w:rFonts w:asciiTheme="minorHAnsi" w:hAnsiTheme="minorHAnsi" w:cs="Arial"/>
          <w:lang w:val="nl-NL"/>
        </w:rPr>
        <w:t>………………………</w:t>
      </w:r>
      <w:r w:rsidRPr="009016B5">
        <w:rPr>
          <w:rFonts w:asciiTheme="minorHAnsi" w:hAnsiTheme="minorHAnsi" w:cs="Arial"/>
          <w:lang w:val="nl-NL"/>
        </w:rPr>
        <w:tab/>
      </w:r>
    </w:p>
    <w:p w:rsidR="00B03D13" w:rsidRPr="009016B5" w:rsidRDefault="00B03D13" w:rsidP="00B03D13">
      <w:pPr>
        <w:pStyle w:val="Paragraphedeliste"/>
        <w:numPr>
          <w:ilvl w:val="1"/>
          <w:numId w:val="4"/>
        </w:numPr>
        <w:autoSpaceDE w:val="0"/>
        <w:autoSpaceDN w:val="0"/>
        <w:adjustRightInd w:val="0"/>
        <w:jc w:val="both"/>
        <w:rPr>
          <w:rFonts w:asciiTheme="minorHAnsi" w:hAnsiTheme="minorHAnsi" w:cs="Arial"/>
          <w:lang w:val="nl-NL"/>
        </w:rPr>
      </w:pPr>
      <w:r w:rsidRPr="009016B5">
        <w:rPr>
          <w:rFonts w:asciiTheme="minorHAnsi" w:hAnsiTheme="minorHAnsi" w:cs="Arial"/>
          <w:lang w:val="nl-NL"/>
        </w:rPr>
        <w:t xml:space="preserve">Land: </w:t>
      </w:r>
      <w:r>
        <w:rPr>
          <w:rFonts w:asciiTheme="minorHAnsi" w:hAnsiTheme="minorHAnsi" w:cs="Arial"/>
          <w:lang w:val="nl-NL"/>
        </w:rPr>
        <w:t>………………………</w:t>
      </w:r>
    </w:p>
    <w:p w:rsidR="00B03D13" w:rsidRPr="009016B5" w:rsidRDefault="00B03D13" w:rsidP="00B03D13">
      <w:pPr>
        <w:pStyle w:val="Paragraphedeliste"/>
        <w:ind w:left="1506"/>
        <w:jc w:val="both"/>
        <w:rPr>
          <w:rFonts w:asciiTheme="minorHAnsi" w:hAnsiTheme="minorHAnsi" w:cs="Arial"/>
          <w:lang w:val="nl-NL"/>
        </w:rPr>
      </w:pPr>
    </w:p>
    <w:p w:rsidR="00B03D13" w:rsidRPr="009016B5" w:rsidRDefault="00B03D13" w:rsidP="00B03D13">
      <w:pPr>
        <w:pStyle w:val="Paragraphedeliste"/>
        <w:numPr>
          <w:ilvl w:val="0"/>
          <w:numId w:val="3"/>
        </w:numPr>
        <w:autoSpaceDE w:val="0"/>
        <w:autoSpaceDN w:val="0"/>
        <w:adjustRightInd w:val="0"/>
        <w:jc w:val="both"/>
        <w:rPr>
          <w:rFonts w:asciiTheme="minorHAnsi" w:hAnsiTheme="minorHAnsi" w:cs="Arial"/>
          <w:b/>
          <w:bCs/>
          <w:i/>
          <w:iCs/>
          <w:lang w:val="nl-NL"/>
        </w:rPr>
      </w:pPr>
      <w:r w:rsidRPr="009016B5">
        <w:rPr>
          <w:rFonts w:asciiTheme="minorHAnsi" w:hAnsiTheme="minorHAnsi" w:cs="Arial"/>
          <w:b/>
          <w:i/>
          <w:lang w:val="nl-NL"/>
        </w:rPr>
        <w:t>Contact</w:t>
      </w:r>
      <w:r>
        <w:rPr>
          <w:rStyle w:val="Appelnotedebasdep"/>
          <w:rFonts w:asciiTheme="minorHAnsi" w:hAnsiTheme="minorHAnsi"/>
          <w:b/>
          <w:i/>
          <w:lang w:val="nl-NL"/>
        </w:rPr>
        <w:footnoteReference w:id="1"/>
      </w:r>
    </w:p>
    <w:p w:rsidR="00B03D13" w:rsidRPr="009016B5" w:rsidRDefault="00B03D13" w:rsidP="00B03D13">
      <w:pPr>
        <w:pStyle w:val="Paragraphedeliste"/>
        <w:autoSpaceDE w:val="0"/>
        <w:autoSpaceDN w:val="0"/>
        <w:adjustRightInd w:val="0"/>
        <w:ind w:left="786"/>
        <w:jc w:val="both"/>
        <w:rPr>
          <w:rFonts w:asciiTheme="minorHAnsi" w:hAnsiTheme="minorHAnsi" w:cs="Arial"/>
          <w:b/>
          <w:bCs/>
          <w:i/>
          <w:iCs/>
          <w:lang w:val="nl-NL"/>
        </w:rPr>
      </w:pP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Naam: ……………………………………………..</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Voornaam: ……………………………………………..</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Taal: ……………………..</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Tel.: ……………………………………………..</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E-mail: ……………………………………………..</w:t>
      </w:r>
    </w:p>
    <w:p w:rsidR="00B03D13" w:rsidRPr="009016B5" w:rsidRDefault="00B03D13" w:rsidP="00B03D13">
      <w:pPr>
        <w:pStyle w:val="Paragraphedeliste"/>
        <w:numPr>
          <w:ilvl w:val="0"/>
          <w:numId w:val="4"/>
        </w:numPr>
        <w:jc w:val="both"/>
        <w:rPr>
          <w:rFonts w:asciiTheme="minorHAnsi" w:hAnsiTheme="minorHAnsi" w:cs="Arial"/>
          <w:lang w:val="nl-NL"/>
        </w:rPr>
      </w:pPr>
      <w:r w:rsidRPr="009016B5">
        <w:rPr>
          <w:rFonts w:asciiTheme="minorHAnsi" w:hAnsiTheme="minorHAnsi" w:cs="Arial"/>
          <w:lang w:val="nl-NL"/>
        </w:rPr>
        <w:t>Adres:</w:t>
      </w:r>
    </w:p>
    <w:p w:rsidR="00B03D13" w:rsidRPr="009016B5" w:rsidRDefault="00B03D13" w:rsidP="00B03D13">
      <w:pPr>
        <w:pStyle w:val="Paragraphedeliste"/>
        <w:numPr>
          <w:ilvl w:val="1"/>
          <w:numId w:val="4"/>
        </w:numPr>
        <w:jc w:val="both"/>
        <w:rPr>
          <w:rFonts w:asciiTheme="minorHAnsi" w:hAnsiTheme="minorHAnsi" w:cs="Arial"/>
          <w:lang w:val="nl-NL"/>
        </w:rPr>
      </w:pPr>
      <w:r w:rsidRPr="009016B5">
        <w:rPr>
          <w:rFonts w:asciiTheme="minorHAnsi" w:hAnsiTheme="minorHAnsi" w:cs="Arial"/>
          <w:lang w:val="nl-NL"/>
        </w:rPr>
        <w:t>Straat: ……………………………………. Nr.: ........…… Bus :</w:t>
      </w:r>
      <w:r w:rsidRPr="009725E4">
        <w:rPr>
          <w:rFonts w:asciiTheme="minorHAnsi" w:hAnsiTheme="minorHAnsi" w:cs="Arial"/>
          <w:lang w:val="nl-NL"/>
        </w:rPr>
        <w:t xml:space="preserve"> </w:t>
      </w:r>
      <w:r>
        <w:rPr>
          <w:rFonts w:asciiTheme="minorHAnsi" w:hAnsiTheme="minorHAnsi" w:cs="Arial"/>
          <w:lang w:val="nl-NL"/>
        </w:rPr>
        <w:t>……….</w:t>
      </w:r>
    </w:p>
    <w:p w:rsidR="00B03D13" w:rsidRPr="009016B5" w:rsidRDefault="00B03D13" w:rsidP="00B03D13">
      <w:pPr>
        <w:pStyle w:val="Paragraphedeliste"/>
        <w:numPr>
          <w:ilvl w:val="1"/>
          <w:numId w:val="4"/>
        </w:numPr>
        <w:jc w:val="both"/>
        <w:rPr>
          <w:rFonts w:asciiTheme="minorHAnsi" w:hAnsiTheme="minorHAnsi" w:cs="Arial"/>
          <w:lang w:val="nl-NL"/>
        </w:rPr>
      </w:pPr>
      <w:r w:rsidRPr="009016B5">
        <w:rPr>
          <w:rFonts w:asciiTheme="minorHAnsi" w:hAnsiTheme="minorHAnsi" w:cs="Arial"/>
          <w:lang w:val="nl-NL"/>
        </w:rPr>
        <w:t>Postcode: ……………. Plaats: …………………</w:t>
      </w:r>
    </w:p>
    <w:p w:rsidR="00B03D13" w:rsidRPr="009016B5" w:rsidRDefault="00B03D13" w:rsidP="00B03D13">
      <w:pPr>
        <w:pStyle w:val="Paragraphedeliste"/>
        <w:ind w:left="1428" w:firstLine="438"/>
        <w:jc w:val="both"/>
        <w:rPr>
          <w:rFonts w:asciiTheme="minorHAnsi" w:hAnsiTheme="minorHAnsi" w:cs="Arial"/>
          <w:lang w:val="nl-NL"/>
        </w:rPr>
      </w:pPr>
      <w:r w:rsidRPr="009016B5">
        <w:rPr>
          <w:rFonts w:asciiTheme="minorHAnsi" w:hAnsiTheme="minorHAnsi" w:cs="Arial"/>
          <w:lang w:val="nl-NL"/>
        </w:rPr>
        <w:t>c. Land:……………</w:t>
      </w:r>
    </w:p>
    <w:p w:rsidR="00B03D13" w:rsidRPr="009016B5" w:rsidRDefault="00B03D13" w:rsidP="00B03D13">
      <w:pPr>
        <w:pStyle w:val="Paragraphedeliste"/>
        <w:autoSpaceDE w:val="0"/>
        <w:autoSpaceDN w:val="0"/>
        <w:adjustRightInd w:val="0"/>
        <w:spacing w:after="0" w:line="240" w:lineRule="auto"/>
        <w:ind w:left="1506"/>
        <w:jc w:val="both"/>
        <w:rPr>
          <w:rFonts w:asciiTheme="minorHAnsi" w:hAnsiTheme="minorHAnsi" w:cs="Arial"/>
          <w:lang w:val="nl-NL"/>
        </w:rPr>
      </w:pPr>
    </w:p>
    <w:p w:rsidR="00B03D13" w:rsidRPr="009016B5" w:rsidRDefault="00B03D13" w:rsidP="00B03D13">
      <w:pPr>
        <w:pStyle w:val="Paragraphedeliste"/>
        <w:ind w:left="1440"/>
        <w:jc w:val="both"/>
        <w:rPr>
          <w:rFonts w:asciiTheme="minorHAnsi" w:hAnsiTheme="minorHAnsi" w:cs="Arial"/>
          <w:lang w:val="nl-NL"/>
        </w:rPr>
      </w:pPr>
    </w:p>
    <w:p w:rsidR="00B03D13" w:rsidRPr="009016B5" w:rsidRDefault="00B03D13" w:rsidP="00B03D13">
      <w:pPr>
        <w:pStyle w:val="Paragraphedeliste"/>
        <w:numPr>
          <w:ilvl w:val="0"/>
          <w:numId w:val="3"/>
        </w:numPr>
        <w:jc w:val="both"/>
        <w:rPr>
          <w:rFonts w:asciiTheme="minorHAnsi" w:hAnsiTheme="minorHAnsi" w:cs="Arial"/>
          <w:b/>
          <w:bCs/>
          <w:i/>
          <w:iCs/>
          <w:lang w:val="nl-NL"/>
        </w:rPr>
      </w:pPr>
      <w:r w:rsidRPr="009016B5">
        <w:rPr>
          <w:rFonts w:asciiTheme="minorHAnsi" w:hAnsiTheme="minorHAnsi" w:cs="Arial"/>
          <w:b/>
          <w:i/>
          <w:lang w:val="nl-NL"/>
        </w:rPr>
        <w:t>Referentiegegevens voor de berekening van de belasting overeenkomstig bijlage I</w:t>
      </w:r>
    </w:p>
    <w:p w:rsidR="00B03D13" w:rsidRPr="000145F7" w:rsidRDefault="00B03D13" w:rsidP="00B03D13">
      <w:pPr>
        <w:jc w:val="both"/>
        <w:rPr>
          <w:rFonts w:eastAsia="Calibri" w:cs="Arial"/>
          <w:b/>
          <w:bCs/>
          <w:i/>
          <w:iCs/>
          <w:lang w:val="nl-NL"/>
        </w:rPr>
      </w:pPr>
      <w:r w:rsidRPr="009016B5">
        <w:rPr>
          <w:rFonts w:cs="Arial"/>
          <w:b/>
          <w:bCs/>
          <w:i/>
          <w:iCs/>
          <w:lang w:val="nl-NL"/>
        </w:rPr>
        <w:br w:type="page"/>
      </w:r>
    </w:p>
    <w:tbl>
      <w:tblPr>
        <w:tblStyle w:val="Grilledutableau"/>
        <w:tblW w:w="0" w:type="auto"/>
        <w:tblInd w:w="0" w:type="dxa"/>
        <w:tblLayout w:type="fixed"/>
        <w:tblLook w:val="04A0" w:firstRow="1" w:lastRow="0" w:firstColumn="1" w:lastColumn="0" w:noHBand="0" w:noVBand="1"/>
      </w:tblPr>
      <w:tblGrid>
        <w:gridCol w:w="1809"/>
        <w:gridCol w:w="5387"/>
        <w:gridCol w:w="1843"/>
      </w:tblGrid>
      <w:tr w:rsidR="00B03D13" w:rsidRPr="00B03D13" w:rsidTr="000E703B">
        <w:trPr>
          <w:trHeight w:val="1128"/>
        </w:trPr>
        <w:tc>
          <w:tcPr>
            <w:tcW w:w="1809" w:type="dxa"/>
            <w:tcBorders>
              <w:top w:val="single" w:sz="4" w:space="0" w:color="auto"/>
              <w:left w:val="single" w:sz="4" w:space="0" w:color="auto"/>
              <w:bottom w:val="single" w:sz="4" w:space="0" w:color="auto"/>
              <w:right w:val="single" w:sz="4" w:space="0" w:color="auto"/>
            </w:tcBorders>
            <w:hideMark/>
          </w:tcPr>
          <w:p w:rsidR="00B03D13" w:rsidRPr="00BE3E0E" w:rsidRDefault="00B03D13" w:rsidP="000E703B">
            <w:pPr>
              <w:pStyle w:val="Paragraphedeliste"/>
              <w:ind w:left="0"/>
              <w:jc w:val="both"/>
              <w:rPr>
                <w:rFonts w:asciiTheme="minorHAnsi" w:hAnsiTheme="minorHAnsi" w:cs="Arial"/>
                <w:b/>
                <w:lang w:val="nl-NL"/>
              </w:rPr>
            </w:pPr>
            <w:r>
              <w:rPr>
                <w:rFonts w:asciiTheme="minorHAnsi" w:hAnsiTheme="minorHAnsi" w:cs="Arial"/>
                <w:b/>
                <w:lang w:val="nl-NL"/>
              </w:rPr>
              <w:lastRenderedPageBreak/>
              <w:t>Referentie in bijlage I</w:t>
            </w:r>
          </w:p>
        </w:tc>
        <w:tc>
          <w:tcPr>
            <w:tcW w:w="5387"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184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lang w:val="nl-NL"/>
              </w:rPr>
            </w:pPr>
            <w:r w:rsidRPr="00923D23">
              <w:rPr>
                <w:rFonts w:asciiTheme="minorHAnsi" w:hAnsiTheme="minorHAnsi" w:cs="Arial"/>
                <w:b/>
                <w:lang w:val="nl-NL"/>
              </w:rPr>
              <w:t>Tonnages van het vorige boekjaar</w:t>
            </w:r>
            <w:r>
              <w:rPr>
                <w:rFonts w:asciiTheme="minorHAnsi" w:hAnsiTheme="minorHAnsi" w:cs="Arial"/>
                <w:lang w:val="nl-NL"/>
              </w:rPr>
              <w:t xml:space="preserve"> (</w:t>
            </w:r>
            <w:r w:rsidRPr="009016B5">
              <w:rPr>
                <w:rFonts w:asciiTheme="minorHAnsi" w:hAnsiTheme="minorHAnsi" w:cs="Arial"/>
                <w:lang w:val="nl-NL"/>
              </w:rPr>
              <w:t>van 01/01 tot 31/12</w:t>
            </w:r>
            <w:r>
              <w:rPr>
                <w:rFonts w:asciiTheme="minorHAnsi" w:hAnsiTheme="minorHAnsi" w:cs="Arial"/>
                <w:lang w:val="nl-NL"/>
              </w:rPr>
              <w:t>)</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A</w:t>
            </w:r>
          </w:p>
          <w:p w:rsidR="00B03D13" w:rsidRPr="009016B5" w:rsidRDefault="00B03D13" w:rsidP="000E703B">
            <w:pPr>
              <w:jc w:val="both"/>
              <w:rPr>
                <w:rFonts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Tonnage (in ton) huishoudelijk afval dat niet-selectief aan huis door hefinrichtingen opgehaald wordt door het Agentschap en andere verbrandbaar afval dat beschouwd wordt als restafval en verbrand. Dit afval omvat niet het veegvuil, het afval uit de openbare vuilnisbakken en het zwerfafval, dat niet aan de afvalstoffenhouder kan worden toegeschreven en dat verbrand wordt.</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w:t>
            </w:r>
          </w:p>
          <w:p w:rsidR="00B03D13" w:rsidRPr="009016B5" w:rsidRDefault="00B03D13" w:rsidP="000E703B">
            <w:pPr>
              <w:jc w:val="both"/>
              <w:rPr>
                <w:rFonts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afval dat selectief opgehaald wordt door het Agentschap </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C</w:t>
            </w:r>
            <w:r w:rsidRPr="009016B5">
              <w:rPr>
                <w:rStyle w:val="Appelnotedebasdep"/>
                <w:rFonts w:cs="Arial"/>
                <w:lang w:val="nl-NL"/>
              </w:rPr>
              <w:footnoteReference w:id="2"/>
            </w:r>
          </w:p>
          <w:p w:rsidR="00B03D13" w:rsidRPr="009016B5" w:rsidRDefault="00B03D13" w:rsidP="000E703B">
            <w:pPr>
              <w:jc w:val="both"/>
              <w:rPr>
                <w:rFonts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Afvalstoffen die selectief worden opgehaald door vennootschappen met sociaal oogmerk, met het oog op hergebruik of recyclage</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w:t>
            </w:r>
            <w:r w:rsidRPr="009016B5">
              <w:rPr>
                <w:rStyle w:val="Appelnotedebasdep"/>
                <w:rFonts w:cs="Arial"/>
                <w:lang w:val="nl-NL"/>
              </w:rPr>
              <w:footnoteReference w:id="3"/>
            </w:r>
          </w:p>
          <w:p w:rsidR="00B03D13" w:rsidRPr="009016B5" w:rsidRDefault="00B03D13" w:rsidP="000E703B">
            <w:pPr>
              <w:jc w:val="both"/>
              <w:rPr>
                <w:rFonts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Afvalstoffen die selectief worden opgehaald door de gemeenten met het oog op hergebruik of recyclage</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w:t>
            </w:r>
            <w:r w:rsidRPr="009016B5">
              <w:rPr>
                <w:rStyle w:val="Appelnotedebasdep"/>
                <w:rFonts w:cs="Arial"/>
                <w:lang w:val="nl-NL"/>
              </w:rPr>
              <w:footnoteReference w:id="4"/>
            </w:r>
          </w:p>
          <w:p w:rsidR="00B03D13" w:rsidRPr="009016B5" w:rsidRDefault="00B03D13" w:rsidP="000E703B">
            <w:pPr>
              <w:jc w:val="both"/>
              <w:rPr>
                <w:rFonts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Huishoudelijke afvalstoffen ingezameld door kleinhandelaars op het grondgebied van het Gewest in het kader van de uitgebreide producentenverantwoordelijkheid (inclusief de hoeveelheden ingezameld door de belastingplichtige, de gemeenten en de vennootschappen met sociaal oogmerk) </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F</w:t>
            </w:r>
            <w:r w:rsidRPr="009016B5">
              <w:rPr>
                <w:rStyle w:val="Appelnotedebasdep"/>
                <w:rFonts w:cs="Arial"/>
                <w:lang w:val="nl-NL"/>
              </w:rPr>
              <w:footnoteReference w:id="5"/>
            </w:r>
          </w:p>
          <w:p w:rsidR="00B03D13" w:rsidRPr="009016B5" w:rsidRDefault="00B03D13" w:rsidP="000E703B">
            <w:pPr>
              <w:jc w:val="both"/>
              <w:rPr>
                <w:rFonts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Organische afvalstoffen die behandeld worden in wijkcomposteercentra</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jc w:val="both"/>
              <w:rPr>
                <w:rFonts w:asciiTheme="minorHAnsi" w:hAnsiTheme="minorHAnsi" w:cs="Arial"/>
                <w:b/>
                <w:lang w:val="nl-NL"/>
              </w:rPr>
            </w:pPr>
            <w:r w:rsidRPr="009016B5">
              <w:rPr>
                <w:rFonts w:asciiTheme="minorHAnsi" w:hAnsiTheme="minorHAnsi" w:cs="Arial"/>
                <w:b/>
                <w:lang w:val="nl-NL"/>
              </w:rPr>
              <w:t>Ti</w:t>
            </w:r>
          </w:p>
          <w:p w:rsidR="00B03D13" w:rsidRPr="009016B5" w:rsidRDefault="00B03D13" w:rsidP="000E703B">
            <w:pPr>
              <w:pStyle w:val="Paragraphedeliste"/>
              <w:jc w:val="both"/>
              <w:rPr>
                <w:rFonts w:asciiTheme="minorHAnsi" w:hAnsiTheme="minorHAnsi" w:cs="Arial"/>
                <w:b/>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b/>
                <w:lang w:val="nl-NL"/>
              </w:rPr>
            </w:pPr>
            <w:r w:rsidRPr="009016B5">
              <w:rPr>
                <w:rFonts w:cs="Arial"/>
                <w:lang w:val="nl-NL"/>
              </w:rPr>
              <w:t>Verbrandingspercentage uitgedrukt in %, van het aanslagjaar in kwestie: Ti = A/(A+G)</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b/>
                <w:lang w:val="nl-NL"/>
              </w:rPr>
            </w:pPr>
            <w:r>
              <w:rPr>
                <w:rFonts w:asciiTheme="minorHAnsi" w:hAnsiTheme="minorHAnsi" w:cs="Arial"/>
                <w:b/>
                <w:lang w:val="nl-NL"/>
              </w:rPr>
              <w:t>%</w:t>
            </w:r>
          </w:p>
        </w:tc>
      </w:tr>
      <w:tr w:rsidR="00B03D13" w:rsidRPr="00E23748"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jc w:val="both"/>
              <w:rPr>
                <w:rFonts w:asciiTheme="minorHAnsi" w:hAnsiTheme="minorHAnsi" w:cs="Arial"/>
                <w:lang w:val="nl-NL"/>
              </w:rPr>
            </w:pPr>
            <w:r w:rsidRPr="009016B5">
              <w:rPr>
                <w:rFonts w:asciiTheme="minorHAnsi" w:hAnsiTheme="minorHAnsi" w:cs="Arial"/>
                <w:lang w:val="nl-NL"/>
              </w:rPr>
              <w:t>H</w:t>
            </w:r>
          </w:p>
          <w:p w:rsidR="00B03D13" w:rsidRPr="009016B5" w:rsidRDefault="00B03D13" w:rsidP="000E703B">
            <w:pPr>
              <w:pStyle w:val="Paragraphedeliste"/>
              <w:jc w:val="both"/>
              <w:rPr>
                <w:rFonts w:asciiTheme="minorHAnsi" w:hAnsiTheme="minorHAnsi"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Verbrandingspercentage van het aanslagjaar in kwestie, zoals bedoeld in artikel 41§2 van de ordonnantie van 14 juni 2012 </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w:t>
            </w:r>
          </w:p>
        </w:tc>
      </w:tr>
      <w:tr w:rsidR="00B03D13" w:rsidRPr="009016B5"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lang w:val="nl-NL"/>
              </w:rPr>
            </w:pPr>
            <w:r w:rsidRPr="009016B5">
              <w:rPr>
                <w:rFonts w:asciiTheme="minorHAnsi" w:hAnsiTheme="minorHAnsi" w:cs="Arial"/>
                <w:lang w:val="nl-NL"/>
              </w:rPr>
              <w:t>Tt</w:t>
            </w:r>
          </w:p>
          <w:p w:rsidR="00B03D13" w:rsidRPr="009016B5" w:rsidRDefault="00B03D13" w:rsidP="000E703B">
            <w:pPr>
              <w:pStyle w:val="Paragraphedeliste"/>
              <w:ind w:left="0"/>
              <w:jc w:val="both"/>
              <w:rPr>
                <w:rFonts w:asciiTheme="minorHAnsi" w:hAnsiTheme="minorHAnsi" w:cs="Arial"/>
                <w:lang w:val="nl-NL"/>
              </w:rPr>
            </w:pPr>
            <w:r w:rsidRPr="009016B5">
              <w:rPr>
                <w:rFonts w:asciiTheme="minorHAnsi" w:hAnsiTheme="minorHAnsi" w:cs="Arial"/>
                <w:lang w:val="nl-NL"/>
              </w:rPr>
              <w:t>(€/ton)</w:t>
            </w: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lang w:val="nl-NL"/>
              </w:rPr>
            </w:pPr>
            <w:r w:rsidRPr="009016B5">
              <w:rPr>
                <w:rFonts w:asciiTheme="minorHAnsi" w:hAnsiTheme="minorHAnsi" w:cs="Arial"/>
                <w:lang w:val="nl-NL"/>
              </w:rPr>
              <w:t>Belasting per ton zoals bedoeld in artikel 41§2 van de ordonnantie van 14 juni 2012</w:t>
            </w:r>
          </w:p>
        </w:tc>
        <w:tc>
          <w:tcPr>
            <w:tcW w:w="184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right"/>
              <w:rPr>
                <w:rFonts w:asciiTheme="minorHAnsi" w:hAnsiTheme="minorHAnsi" w:cs="Arial"/>
                <w:lang w:val="nl-NL"/>
              </w:rPr>
            </w:pPr>
            <w:r w:rsidRPr="009016B5">
              <w:rPr>
                <w:rFonts w:asciiTheme="minorHAnsi" w:hAnsiTheme="minorHAnsi" w:cs="Arial"/>
                <w:lang w:val="nl-NL"/>
              </w:rPr>
              <w:t>29 €/ton</w:t>
            </w:r>
          </w:p>
        </w:tc>
      </w:tr>
      <w:tr w:rsidR="00B03D13" w:rsidRPr="009016B5"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lang w:val="nl-NL"/>
              </w:rPr>
            </w:pPr>
            <w:r w:rsidRPr="009016B5">
              <w:rPr>
                <w:rFonts w:asciiTheme="minorHAnsi" w:hAnsiTheme="minorHAnsi" w:cs="Arial"/>
                <w:lang w:val="nl-NL"/>
              </w:rPr>
              <w:t>Ta</w:t>
            </w:r>
          </w:p>
          <w:p w:rsidR="00B03D13" w:rsidRPr="009016B5" w:rsidRDefault="00B03D13" w:rsidP="000E703B">
            <w:pPr>
              <w:pStyle w:val="Paragraphedeliste"/>
              <w:ind w:left="0"/>
              <w:jc w:val="both"/>
              <w:rPr>
                <w:rFonts w:asciiTheme="minorHAnsi" w:hAnsiTheme="minorHAnsi" w:cs="Arial"/>
                <w:lang w:val="nl-NL"/>
              </w:rPr>
            </w:pPr>
          </w:p>
        </w:tc>
        <w:tc>
          <w:tcPr>
            <w:tcW w:w="538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lang w:val="nl-NL"/>
              </w:rPr>
            </w:pPr>
            <w:r w:rsidRPr="009016B5">
              <w:rPr>
                <w:rFonts w:asciiTheme="minorHAnsi" w:hAnsiTheme="minorHAnsi" w:cs="Arial"/>
                <w:lang w:val="nl-NL"/>
              </w:rPr>
              <w:t>Verschuldigde belasting op verbranding, als volgt berekend:</w:t>
            </w:r>
          </w:p>
          <w:p w:rsidR="00B03D13" w:rsidRPr="009016B5" w:rsidRDefault="00B03D13" w:rsidP="000E703B">
            <w:pPr>
              <w:jc w:val="both"/>
              <w:rPr>
                <w:rFonts w:cs="Arial"/>
                <w:lang w:val="nl-NL"/>
              </w:rPr>
            </w:pPr>
            <w:r w:rsidRPr="009016B5">
              <w:rPr>
                <w:rFonts w:cs="Arial"/>
                <w:lang w:val="nl-NL"/>
              </w:rPr>
              <w:t>Als Ti &gt; H dan is Ta = (Ti - H) x A x 29 €</w:t>
            </w:r>
          </w:p>
        </w:tc>
        <w:tc>
          <w:tcPr>
            <w:tcW w:w="184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right"/>
              <w:rPr>
                <w:rFonts w:asciiTheme="minorHAnsi" w:hAnsiTheme="minorHAnsi" w:cs="Arial"/>
                <w:lang w:val="nl-NL"/>
              </w:rPr>
            </w:pPr>
            <w:r>
              <w:rPr>
                <w:rFonts w:asciiTheme="minorHAnsi" w:hAnsiTheme="minorHAnsi" w:cs="Arial"/>
                <w:lang w:val="nl-NL"/>
              </w:rPr>
              <w:t>Ton</w:t>
            </w:r>
          </w:p>
        </w:tc>
      </w:tr>
    </w:tbl>
    <w:p w:rsidR="00B03D13" w:rsidRPr="009016B5" w:rsidRDefault="00B03D13" w:rsidP="00B03D13">
      <w:pPr>
        <w:jc w:val="both"/>
        <w:rPr>
          <w:rFonts w:cs="Arial"/>
          <w:lang w:val="nl-NL"/>
        </w:rPr>
      </w:pPr>
    </w:p>
    <w:p w:rsidR="00B03D13" w:rsidRDefault="00B03D13" w:rsidP="00B03D13">
      <w:pPr>
        <w:pStyle w:val="Default"/>
        <w:jc w:val="both"/>
        <w:rPr>
          <w:rFonts w:asciiTheme="minorHAnsi" w:hAnsiTheme="minorHAnsi"/>
          <w:b/>
          <w:color w:val="auto"/>
          <w:sz w:val="22"/>
          <w:lang w:val="nl-NL"/>
        </w:rPr>
      </w:pPr>
      <w:r w:rsidRPr="009016B5">
        <w:rPr>
          <w:rFonts w:asciiTheme="minorHAnsi" w:hAnsiTheme="minorHAnsi"/>
          <w:b/>
          <w:color w:val="auto"/>
          <w:sz w:val="22"/>
          <w:lang w:val="nl-NL"/>
        </w:rPr>
        <w:t>Overeenkomstig bijlage</w:t>
      </w:r>
      <w:r>
        <w:rPr>
          <w:rFonts w:asciiTheme="minorHAnsi" w:hAnsiTheme="minorHAnsi"/>
          <w:b/>
          <w:color w:val="auto"/>
          <w:sz w:val="22"/>
          <w:lang w:val="nl-NL"/>
        </w:rPr>
        <w:t>n</w:t>
      </w:r>
      <w:r w:rsidRPr="009016B5">
        <w:rPr>
          <w:rFonts w:asciiTheme="minorHAnsi" w:hAnsiTheme="minorHAnsi"/>
          <w:b/>
          <w:color w:val="auto"/>
          <w:sz w:val="22"/>
          <w:lang w:val="nl-NL"/>
        </w:rPr>
        <w:t xml:space="preserve"> 15 en 16 </w:t>
      </w:r>
      <w:r>
        <w:rPr>
          <w:rFonts w:asciiTheme="minorHAnsi" w:hAnsiTheme="minorHAnsi"/>
          <w:b/>
          <w:color w:val="auto"/>
          <w:sz w:val="22"/>
          <w:lang w:val="nl-NL"/>
        </w:rPr>
        <w:t xml:space="preserve">van het Besluit </w:t>
      </w:r>
      <w:r w:rsidRPr="00B03D13">
        <w:rPr>
          <w:rFonts w:asciiTheme="minorHAnsi" w:hAnsiTheme="minorHAnsi"/>
          <w:b/>
          <w:color w:val="auto"/>
          <w:sz w:val="22"/>
          <w:lang w:val="nl-NL"/>
        </w:rPr>
        <w:t xml:space="preserve">van 1 december 2016 betreffende het beheer van afvalstoffen </w:t>
      </w:r>
      <w:r w:rsidRPr="009016B5">
        <w:rPr>
          <w:rFonts w:asciiTheme="minorHAnsi" w:hAnsiTheme="minorHAnsi"/>
          <w:b/>
          <w:color w:val="auto"/>
          <w:sz w:val="22"/>
          <w:lang w:val="nl-NL"/>
        </w:rPr>
        <w:t>wordt voor i</w:t>
      </w:r>
      <w:r>
        <w:rPr>
          <w:rFonts w:asciiTheme="minorHAnsi" w:hAnsiTheme="minorHAnsi"/>
          <w:b/>
          <w:color w:val="auto"/>
          <w:sz w:val="22"/>
          <w:lang w:val="nl-NL"/>
        </w:rPr>
        <w:t>edere stroom waarvan sprake in r</w:t>
      </w:r>
      <w:r w:rsidRPr="009016B5">
        <w:rPr>
          <w:rFonts w:asciiTheme="minorHAnsi" w:hAnsiTheme="minorHAnsi"/>
          <w:b/>
          <w:color w:val="auto"/>
          <w:sz w:val="22"/>
          <w:lang w:val="nl-NL"/>
        </w:rPr>
        <w:t>eferentie</w:t>
      </w:r>
      <w:r>
        <w:rPr>
          <w:rFonts w:asciiTheme="minorHAnsi" w:hAnsiTheme="minorHAnsi"/>
          <w:b/>
          <w:color w:val="auto"/>
          <w:sz w:val="22"/>
          <w:lang w:val="nl-NL"/>
        </w:rPr>
        <w:t>s</w:t>
      </w:r>
      <w:r w:rsidRPr="009016B5">
        <w:rPr>
          <w:rFonts w:asciiTheme="minorHAnsi" w:hAnsiTheme="minorHAnsi"/>
          <w:b/>
          <w:color w:val="auto"/>
          <w:sz w:val="22"/>
          <w:lang w:val="nl-NL"/>
        </w:rPr>
        <w:t xml:space="preserve"> A en B een gedetailleerd verslag opgesteld dat bij deze aangifte gevoegd wordt.</w:t>
      </w:r>
    </w:p>
    <w:p w:rsidR="00B03D13" w:rsidRDefault="00B03D13" w:rsidP="00B03D13">
      <w:pPr>
        <w:pStyle w:val="Default"/>
        <w:jc w:val="both"/>
        <w:rPr>
          <w:rFonts w:asciiTheme="minorHAnsi" w:hAnsiTheme="minorHAnsi"/>
          <w:b/>
          <w:color w:val="auto"/>
          <w:sz w:val="22"/>
          <w:lang w:val="nl-NL"/>
        </w:rPr>
      </w:pPr>
    </w:p>
    <w:p w:rsidR="00B03D13" w:rsidRDefault="00B03D13" w:rsidP="00B03D13">
      <w:pPr>
        <w:pStyle w:val="Default"/>
        <w:jc w:val="both"/>
        <w:rPr>
          <w:rFonts w:asciiTheme="minorHAnsi" w:hAnsiTheme="minorHAnsi"/>
          <w:b/>
          <w:color w:val="auto"/>
          <w:sz w:val="22"/>
          <w:lang w:val="nl-NL"/>
        </w:rPr>
      </w:pPr>
    </w:p>
    <w:p w:rsidR="00B03D13" w:rsidRDefault="00B03D13" w:rsidP="00B03D13">
      <w:pPr>
        <w:pStyle w:val="Default"/>
        <w:jc w:val="both"/>
        <w:rPr>
          <w:rFonts w:asciiTheme="minorHAnsi" w:hAnsiTheme="minorHAnsi"/>
          <w:b/>
          <w:color w:val="auto"/>
          <w:sz w:val="22"/>
          <w:lang w:val="nl-NL"/>
        </w:rPr>
      </w:pPr>
    </w:p>
    <w:p w:rsidR="00B03D13" w:rsidRPr="00923D23" w:rsidRDefault="00B03D13" w:rsidP="00B03D13">
      <w:pPr>
        <w:pStyle w:val="Default"/>
        <w:jc w:val="both"/>
        <w:rPr>
          <w:rFonts w:asciiTheme="minorHAnsi" w:hAnsiTheme="minorHAnsi"/>
          <w:b/>
          <w:bCs/>
          <w:color w:val="auto"/>
          <w:sz w:val="22"/>
          <w:szCs w:val="22"/>
          <w:lang w:val="nl-NL"/>
        </w:rPr>
      </w:pPr>
      <w:r w:rsidRPr="009016B5">
        <w:rPr>
          <w:rFonts w:asciiTheme="minorHAnsi" w:hAnsiTheme="minorHAnsi"/>
          <w:b/>
          <w:color w:val="auto"/>
          <w:sz w:val="22"/>
          <w:lang w:val="nl-NL"/>
        </w:rPr>
        <w:lastRenderedPageBreak/>
        <w:t xml:space="preserve">Verklaring op eer en handtekening </w:t>
      </w:r>
    </w:p>
    <w:p w:rsidR="00B03D13" w:rsidRPr="009016B5" w:rsidRDefault="00B03D13" w:rsidP="00B03D13">
      <w:pPr>
        <w:jc w:val="both"/>
        <w:rPr>
          <w:rFonts w:cs="Arial"/>
          <w:lang w:val="nl-NL"/>
        </w:rPr>
      </w:pPr>
    </w:p>
    <w:p w:rsidR="00B03D13" w:rsidRPr="009016B5" w:rsidRDefault="00B03D13" w:rsidP="00B03D13">
      <w:pPr>
        <w:jc w:val="both"/>
        <w:rPr>
          <w:rFonts w:cs="Arial"/>
          <w:lang w:val="nl-NL"/>
        </w:rPr>
      </w:pPr>
      <w:r w:rsidRPr="009016B5">
        <w:rPr>
          <w:rFonts w:cs="Arial"/>
          <w:lang w:val="nl-NL"/>
        </w:rPr>
        <w:t>Naam, voornaam, functie</w:t>
      </w:r>
    </w:p>
    <w:p w:rsidR="00B03D13" w:rsidRPr="009016B5" w:rsidRDefault="00B03D13" w:rsidP="00B03D13">
      <w:pPr>
        <w:jc w:val="both"/>
        <w:rPr>
          <w:rFonts w:cs="Arial"/>
          <w:lang w:val="nl-NL"/>
        </w:rPr>
      </w:pPr>
    </w:p>
    <w:p w:rsidR="00B03D13" w:rsidRPr="009016B5" w:rsidRDefault="00B03D13" w:rsidP="00B03D13">
      <w:pPr>
        <w:jc w:val="both"/>
        <w:rPr>
          <w:rFonts w:cs="Arial"/>
          <w:lang w:val="nl-NL"/>
        </w:rPr>
      </w:pPr>
      <w:r w:rsidRPr="009016B5">
        <w:rPr>
          <w:rFonts w:cs="Arial"/>
          <w:lang w:val="nl-NL"/>
        </w:rPr>
        <w:t>verklaart dat deze aangifte, inclusief de bijgevoegde documenten, juist en waarheidsgetrouw is en kan gebruikt worden om het bedrag van de belasting te bepalen. Ik voeg ........... genummerde bijlage(n) bij deze aangifte.</w:t>
      </w:r>
    </w:p>
    <w:p w:rsidR="00B03D13" w:rsidRDefault="00B03D13" w:rsidP="00B03D13">
      <w:pPr>
        <w:jc w:val="both"/>
        <w:rPr>
          <w:rFonts w:cs="Arial"/>
          <w:lang w:val="nl-NL"/>
        </w:rPr>
      </w:pPr>
    </w:p>
    <w:p w:rsidR="00B03D13" w:rsidRPr="009016B5" w:rsidRDefault="00B03D13" w:rsidP="00B03D13">
      <w:pPr>
        <w:jc w:val="both"/>
        <w:rPr>
          <w:rFonts w:cs="Arial"/>
          <w:lang w:val="nl-NL"/>
        </w:rPr>
      </w:pPr>
      <w:r w:rsidRPr="009016B5">
        <w:rPr>
          <w:rFonts w:cs="Arial"/>
          <w:lang w:val="nl-NL"/>
        </w:rPr>
        <w:t>Opgemaakt te, datum:     /     /             handtekening</w:t>
      </w:r>
    </w:p>
    <w:p w:rsidR="00B03D13" w:rsidRPr="009016B5" w:rsidRDefault="00B03D13" w:rsidP="00B03D13">
      <w:pPr>
        <w:pStyle w:val="Paragraphedeliste"/>
        <w:ind w:left="0"/>
        <w:jc w:val="both"/>
        <w:rPr>
          <w:rFonts w:asciiTheme="minorHAnsi" w:hAnsiTheme="minorHAnsi" w:cs="Arial"/>
          <w:lang w:val="nl-NL"/>
        </w:rPr>
      </w:pPr>
    </w:p>
    <w:p w:rsidR="00B03D13" w:rsidRPr="009016B5" w:rsidRDefault="00B03D13" w:rsidP="00B03D13">
      <w:pPr>
        <w:pStyle w:val="Paragraphedeliste"/>
        <w:ind w:left="0"/>
        <w:jc w:val="both"/>
        <w:rPr>
          <w:rFonts w:asciiTheme="minorHAnsi" w:hAnsiTheme="minorHAnsi" w:cs="Arial"/>
          <w:lang w:val="nl-NL"/>
        </w:rPr>
      </w:pPr>
    </w:p>
    <w:p w:rsidR="00B03D13" w:rsidRPr="009016B5" w:rsidRDefault="00B03D13" w:rsidP="00B03D13">
      <w:pPr>
        <w:pStyle w:val="Paragraphedeliste"/>
        <w:ind w:left="0"/>
        <w:jc w:val="both"/>
        <w:rPr>
          <w:rFonts w:asciiTheme="minorHAnsi" w:hAnsiTheme="minorHAnsi" w:cs="Arial"/>
          <w:lang w:val="nl-NL"/>
        </w:rPr>
      </w:pPr>
      <w:r w:rsidRPr="009016B5">
        <w:rPr>
          <w:rFonts w:asciiTheme="minorHAnsi" w:hAnsiTheme="minorHAnsi" w:cs="Arial"/>
          <w:lang w:val="nl-NL"/>
        </w:rPr>
        <w:t>Lijst met documenten in bijlage die bij deze aangifte gevoegd worden:</w:t>
      </w:r>
    </w:p>
    <w:p w:rsidR="00B03D13" w:rsidRPr="009016B5" w:rsidRDefault="00B03D13" w:rsidP="00B03D13">
      <w:pPr>
        <w:pStyle w:val="Paragraphedeliste"/>
        <w:ind w:left="0"/>
        <w:jc w:val="both"/>
        <w:rPr>
          <w:rFonts w:asciiTheme="minorHAnsi" w:hAnsiTheme="minorHAnsi" w:cs="Arial"/>
          <w:lang w:val="nl-NL"/>
        </w:rPr>
      </w:pPr>
    </w:p>
    <w:tbl>
      <w:tblPr>
        <w:tblStyle w:val="Grilledutableau"/>
        <w:tblW w:w="0" w:type="auto"/>
        <w:tblInd w:w="38" w:type="dxa"/>
        <w:tblLook w:val="04A0" w:firstRow="1" w:lastRow="0" w:firstColumn="1" w:lastColumn="0" w:noHBand="0" w:noVBand="1"/>
      </w:tblPr>
      <w:tblGrid>
        <w:gridCol w:w="1346"/>
        <w:gridCol w:w="7796"/>
      </w:tblGrid>
      <w:tr w:rsidR="00B03D13" w:rsidRPr="009016B5" w:rsidTr="000E703B">
        <w:tc>
          <w:tcPr>
            <w:tcW w:w="134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b/>
                <w:lang w:val="nl-NL"/>
              </w:rPr>
            </w:pPr>
            <w:r w:rsidRPr="009016B5">
              <w:rPr>
                <w:rFonts w:asciiTheme="minorHAnsi" w:hAnsiTheme="minorHAnsi" w:cs="Arial"/>
                <w:b/>
                <w:lang w:val="nl-NL"/>
              </w:rPr>
              <w:t>Referentie</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Paragraphedeliste"/>
              <w:ind w:left="0"/>
              <w:jc w:val="both"/>
              <w:rPr>
                <w:rFonts w:asciiTheme="minorHAnsi" w:hAnsiTheme="minorHAnsi" w:cs="Arial"/>
                <w:b/>
                <w:lang w:val="nl-NL"/>
              </w:rPr>
            </w:pPr>
            <w:r w:rsidRPr="009016B5">
              <w:rPr>
                <w:rFonts w:asciiTheme="minorHAnsi" w:hAnsiTheme="minorHAnsi" w:cs="Arial"/>
                <w:b/>
                <w:lang w:val="nl-NL"/>
              </w:rPr>
              <w:t>Titel</w:t>
            </w: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r w:rsidR="00B03D13" w:rsidRPr="009016B5" w:rsidTr="000E703B">
        <w:tc>
          <w:tcPr>
            <w:tcW w:w="134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c>
          <w:tcPr>
            <w:tcW w:w="7796"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pStyle w:val="Paragraphedeliste"/>
              <w:ind w:left="0"/>
              <w:jc w:val="both"/>
              <w:rPr>
                <w:rFonts w:asciiTheme="minorHAnsi" w:hAnsiTheme="minorHAnsi" w:cs="Arial"/>
                <w:lang w:val="nl-NL"/>
              </w:rPr>
            </w:pPr>
          </w:p>
        </w:tc>
      </w:tr>
    </w:tbl>
    <w:p w:rsidR="00B03D13" w:rsidRPr="009016B5" w:rsidRDefault="00B03D13" w:rsidP="00B03D13">
      <w:pPr>
        <w:pStyle w:val="Paragraphedeliste"/>
        <w:ind w:left="0"/>
        <w:jc w:val="both"/>
        <w:rPr>
          <w:rFonts w:asciiTheme="minorHAnsi" w:hAnsiTheme="minorHAnsi" w:cs="Arial"/>
          <w:lang w:val="nl-NL"/>
        </w:rPr>
      </w:pPr>
    </w:p>
    <w:p w:rsidR="00EF4994" w:rsidRDefault="00EF4994"/>
    <w:p w:rsidR="00B03D13" w:rsidRDefault="00B03D13"/>
    <w:p w:rsidR="00B03D13" w:rsidRDefault="00B03D13" w:rsidP="00B03D13">
      <w:pPr>
        <w:jc w:val="both"/>
      </w:pPr>
    </w:p>
    <w:p w:rsidR="00B03D13" w:rsidRPr="00B03D13" w:rsidRDefault="00B03D13" w:rsidP="00B03D13">
      <w:pPr>
        <w:jc w:val="center"/>
        <w:rPr>
          <w:rFonts w:cs="Arial"/>
          <w:b/>
          <w:sz w:val="24"/>
          <w:szCs w:val="24"/>
          <w:lang w:val="nl-NL"/>
        </w:rPr>
      </w:pPr>
      <w:r w:rsidRPr="00B03D13">
        <w:rPr>
          <w:rFonts w:cs="Arial"/>
          <w:b/>
          <w:sz w:val="24"/>
          <w:lang w:val="nl-BE"/>
        </w:rPr>
        <w:lastRenderedPageBreak/>
        <w:t xml:space="preserve">Bijlage I: </w:t>
      </w:r>
      <w:r w:rsidRPr="00B03D13">
        <w:rPr>
          <w:rFonts w:cs="Arial"/>
          <w:b/>
          <w:sz w:val="24"/>
          <w:lang w:val="nl-NL"/>
        </w:rPr>
        <w:t>Bijlage 16 bij het besluit van 1 december 2016 betreffende het beheer van afvalstoffen</w:t>
      </w:r>
    </w:p>
    <w:p w:rsidR="00B03D13" w:rsidRPr="009016B5" w:rsidRDefault="00B03D13" w:rsidP="00B03D13">
      <w:pPr>
        <w:pStyle w:val="Default"/>
        <w:jc w:val="both"/>
        <w:rPr>
          <w:rFonts w:asciiTheme="minorHAnsi" w:hAnsiTheme="minorHAnsi"/>
          <w:b/>
          <w:color w:val="auto"/>
          <w:sz w:val="22"/>
          <w:u w:val="single"/>
          <w:lang w:val="nl-NL"/>
        </w:rPr>
      </w:pPr>
      <w:r w:rsidRPr="009016B5">
        <w:rPr>
          <w:rFonts w:asciiTheme="minorHAnsi" w:hAnsiTheme="minorHAnsi"/>
          <w:b/>
          <w:color w:val="auto"/>
          <w:sz w:val="22"/>
          <w:u w:val="single"/>
          <w:lang w:val="nl-NL"/>
        </w:rPr>
        <w:t>Berekeningsmethode voor de belasting op verbranding van artikel 41 van de ordonnantie van 14 juni 2012 betreffende de afvalstoffen</w:t>
      </w:r>
    </w:p>
    <w:p w:rsidR="00B03D13" w:rsidRPr="009016B5" w:rsidRDefault="00B03D13" w:rsidP="00B03D13">
      <w:pPr>
        <w:pStyle w:val="Default"/>
        <w:jc w:val="both"/>
        <w:rPr>
          <w:rFonts w:asciiTheme="minorHAnsi" w:hAnsiTheme="minorHAnsi"/>
          <w:b/>
          <w:color w:val="auto"/>
          <w:sz w:val="22"/>
          <w:u w:val="single"/>
          <w:lang w:val="nl-NL"/>
        </w:rPr>
      </w:pPr>
    </w:p>
    <w:p w:rsidR="00B03D13" w:rsidRPr="009016B5" w:rsidRDefault="00B03D13" w:rsidP="00B03D13">
      <w:pPr>
        <w:jc w:val="both"/>
        <w:rPr>
          <w:rFonts w:cs="Arial"/>
          <w:lang w:val="nl-NL"/>
        </w:rPr>
      </w:pPr>
      <w:r w:rsidRPr="009016B5">
        <w:rPr>
          <w:rFonts w:eastAsia="Calibri" w:cs="Arial"/>
          <w:lang w:val="nl-NL"/>
        </w:rPr>
        <w:t>De berekeningsmethode om het percentage verbrande afvalstoffen te berekenen in verhouding tot het totaal aan huishoudelijk afval dat in aanmerking genomen wordt voor de berekening van de belasting van artikel 41, rekening houdend met de lijst van mee in aanmerking te nemen afvalstoffen van bijlage 15 van dit besluit:</w:t>
      </w: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t>het totaal (in ton) aan huishoudelijke afvalstoffen die selectief werden opgehaald voor het aanslagjaar (G) = B+C+D+E+F ;</w:t>
      </w:r>
    </w:p>
    <w:p w:rsidR="00B03D13" w:rsidRPr="009016B5" w:rsidRDefault="00B03D13" w:rsidP="00B03D13">
      <w:pPr>
        <w:pStyle w:val="Paragraphedeliste"/>
        <w:ind w:left="360"/>
        <w:jc w:val="both"/>
        <w:rPr>
          <w:rFonts w:asciiTheme="minorHAnsi" w:hAnsiTheme="minorHAnsi" w:cs="Arial"/>
          <w:lang w:val="nl-NL"/>
        </w:rPr>
      </w:pP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t>het verbrandingspercentage (H) is het percentage bedoeld in artikel 41, §2 voor het aanslagjaar in kwestie, uitgedrukt in %;</w:t>
      </w:r>
    </w:p>
    <w:p w:rsidR="00B03D13" w:rsidRPr="009016B5" w:rsidRDefault="00B03D13" w:rsidP="00B03D13">
      <w:pPr>
        <w:spacing w:after="0"/>
        <w:jc w:val="both"/>
        <w:rPr>
          <w:rFonts w:cs="Arial"/>
          <w:lang w:val="nl-NL"/>
        </w:rPr>
      </w:pPr>
    </w:p>
    <w:p w:rsidR="00B03D13" w:rsidRPr="009016B5" w:rsidRDefault="00B03D13" w:rsidP="00B03D13">
      <w:pPr>
        <w:jc w:val="both"/>
        <w:rPr>
          <w:rFonts w:cs="Arial"/>
          <w:lang w:val="nl-NL"/>
        </w:rPr>
      </w:pPr>
      <w:r w:rsidRPr="009016B5">
        <w:rPr>
          <w:rFonts w:cs="Arial"/>
          <w:lang w:val="nl-NL"/>
        </w:rPr>
        <w:t>het verbrandingspercentage (Ti), uitgedrukt in %, van het aanslagjaar in kwestie wordt als volgt berekend:</w:t>
      </w:r>
      <w:r>
        <w:rPr>
          <w:rFonts w:cs="Arial"/>
          <w:lang w:val="nl-NL"/>
        </w:rPr>
        <w:t xml:space="preserve"> </w:t>
      </w:r>
      <m:oMath>
        <m:r>
          <w:rPr>
            <w:rFonts w:ascii="Cambria Math" w:hAnsi="Cambria Math" w:cs="Cambria Math"/>
          </w:rPr>
          <m:t>Ti</m:t>
        </m:r>
        <m:r>
          <m:rPr>
            <m:sty m:val="p"/>
          </m:rPr>
          <w:rPr>
            <w:rFonts w:ascii="Cambria Math" w:eastAsia="Calibri" w:hAnsi="Cambria Math" w:cs="Cambria Math"/>
            <w:lang w:val="nl-BE"/>
          </w:rPr>
          <m:t>=</m:t>
        </m:r>
        <m:f>
          <m:fPr>
            <m:ctrlPr>
              <w:rPr>
                <w:rFonts w:ascii="Cambria Math" w:hAnsi="Cambria Math" w:cs="Arial"/>
                <w:i/>
              </w:rPr>
            </m:ctrlPr>
          </m:fPr>
          <m:num>
            <m:r>
              <w:rPr>
                <w:rFonts w:ascii="Cambria Math" w:hAnsi="Cambria Math" w:cs="Arial"/>
              </w:rPr>
              <m:t>A</m:t>
            </m:r>
          </m:num>
          <m:den>
            <m:r>
              <w:rPr>
                <w:rFonts w:ascii="Cambria Math" w:hAnsi="Cambria Math" w:cs="Cambria Math"/>
              </w:rPr>
              <m:t>A</m:t>
            </m:r>
            <m:r>
              <w:rPr>
                <w:rFonts w:ascii="Cambria Math" w:eastAsia="Calibri" w:hAnsi="Cambria Math" w:cs="Cambria Math"/>
                <w:lang w:val="nl-BE"/>
              </w:rPr>
              <m:t>+</m:t>
            </m:r>
            <m:r>
              <w:rPr>
                <w:rFonts w:ascii="Cambria Math" w:hAnsi="Cambria Math" w:cs="Cambria Math"/>
              </w:rPr>
              <m:t>G</m:t>
            </m:r>
          </m:den>
        </m:f>
      </m:oMath>
      <w:r>
        <w:rPr>
          <w:rFonts w:cs="Arial"/>
          <w:lang w:val="nl-NL"/>
        </w:rPr>
        <w:tab/>
      </w:r>
    </w:p>
    <w:p w:rsidR="00B03D13" w:rsidRPr="009016B5" w:rsidRDefault="00B03D13" w:rsidP="00B03D13">
      <w:pPr>
        <w:jc w:val="both"/>
        <w:rPr>
          <w:rFonts w:cs="Arial"/>
          <w:lang w:val="nl-NL"/>
        </w:rPr>
      </w:pPr>
      <w:r w:rsidRPr="009016B5">
        <w:rPr>
          <w:rFonts w:cs="Arial"/>
          <w:lang w:val="nl-NL"/>
        </w:rPr>
        <w:t>Rekening houdend met artikel 41, §2 waarin de belasting op 29 € per ton (Tt) wordt vastgelegd, wordt de verschuldigde belasting op verbranding (Ta), waarvan sprake in artikel 41, §2, op de volgende wijze berekend, uitgedrukt in €:</w:t>
      </w:r>
    </w:p>
    <w:p w:rsidR="00B03D13" w:rsidRPr="009016B5" w:rsidRDefault="00B03D13" w:rsidP="00B03D13">
      <w:pPr>
        <w:jc w:val="both"/>
        <w:rPr>
          <w:rFonts w:cs="Arial"/>
          <w:lang w:val="nl-NL"/>
        </w:rPr>
      </w:pPr>
      <w:r w:rsidRPr="009016B5">
        <w:rPr>
          <w:rFonts w:cs="Arial"/>
          <w:lang w:val="nl-NL"/>
        </w:rPr>
        <w:t>Als Ti &gt; H dan is Ta = (Ti - H) x A x 29</w:t>
      </w:r>
    </w:p>
    <w:p w:rsidR="00B03D13" w:rsidRDefault="00B03D13"/>
    <w:p w:rsidR="00B03D13" w:rsidRDefault="00B03D13"/>
    <w:p w:rsidR="00B03D13" w:rsidRDefault="00B03D13"/>
    <w:p w:rsidR="00B03D13" w:rsidRDefault="00B03D13"/>
    <w:p w:rsidR="00B03D13" w:rsidRDefault="00B03D13"/>
    <w:p w:rsidR="00B03D13" w:rsidRDefault="00B03D13"/>
    <w:p w:rsidR="00B03D13" w:rsidRDefault="00B03D13"/>
    <w:p w:rsidR="00B03D13" w:rsidRDefault="00B03D13"/>
    <w:p w:rsidR="00B03D13" w:rsidRDefault="00B03D13"/>
    <w:p w:rsidR="00B03D13" w:rsidRDefault="00B03D13"/>
    <w:p w:rsidR="00B03D13" w:rsidRDefault="00B03D13"/>
    <w:p w:rsidR="00B03D13" w:rsidRDefault="00B03D13"/>
    <w:p w:rsidR="00B03D13" w:rsidRPr="00B03D13" w:rsidRDefault="00B03D13" w:rsidP="00B03D13">
      <w:pPr>
        <w:jc w:val="center"/>
        <w:rPr>
          <w:rFonts w:cs="Arial"/>
          <w:b/>
          <w:sz w:val="24"/>
          <w:szCs w:val="24"/>
          <w:lang w:val="nl-NL"/>
        </w:rPr>
      </w:pPr>
      <w:bookmarkStart w:id="0" w:name="_GoBack"/>
      <w:r w:rsidRPr="00B03D13">
        <w:rPr>
          <w:rFonts w:cs="Arial"/>
          <w:b/>
          <w:sz w:val="24"/>
          <w:lang w:val="nl-BE"/>
        </w:rPr>
        <w:lastRenderedPageBreak/>
        <w:t xml:space="preserve">Bijlage II: </w:t>
      </w:r>
      <w:r w:rsidRPr="00B03D13">
        <w:rPr>
          <w:rFonts w:cs="Arial"/>
          <w:b/>
          <w:sz w:val="24"/>
          <w:lang w:val="nl-NL"/>
        </w:rPr>
        <w:t>Bijlage 15 bij het besluit van 1 december 2016 betreffende het beheer van afvalstoffen</w:t>
      </w:r>
    </w:p>
    <w:bookmarkEnd w:id="0"/>
    <w:p w:rsidR="00B03D13" w:rsidRPr="00B03D13" w:rsidRDefault="00B03D13" w:rsidP="00B03D13">
      <w:pPr>
        <w:jc w:val="both"/>
        <w:rPr>
          <w:rFonts w:cs="Arial"/>
          <w:b/>
          <w:szCs w:val="24"/>
          <w:u w:val="single"/>
          <w:lang w:val="nl-NL"/>
        </w:rPr>
      </w:pPr>
      <w:r w:rsidRPr="00B03D13">
        <w:rPr>
          <w:rFonts w:cs="Arial"/>
          <w:b/>
          <w:u w:val="single"/>
          <w:lang w:val="nl-NL"/>
        </w:rPr>
        <w:t>Inventaris van de afvalstoffen die in aanmerking genomen worden voor het berekenen van de belasting op verbranding van artikel 41 van 14 juni 2012 betreffende afvalstoffen en hun statistische eigenschappen.</w:t>
      </w:r>
    </w:p>
    <w:p w:rsidR="00B03D13" w:rsidRPr="009016B5" w:rsidRDefault="00B03D13" w:rsidP="00B03D13">
      <w:pPr>
        <w:jc w:val="both"/>
        <w:rPr>
          <w:rFonts w:cs="Arial"/>
          <w:lang w:val="nl-NL"/>
        </w:rPr>
      </w:pPr>
      <w:r w:rsidRPr="009016B5">
        <w:rPr>
          <w:rFonts w:cs="Arial"/>
          <w:lang w:val="nl-NL"/>
        </w:rPr>
        <w:t>Alle afvalstromen die selectief werden opgehaald met het oog op recyclage worden beschouwd als zijnde 100% gerecycleerd.</w:t>
      </w:r>
    </w:p>
    <w:p w:rsidR="00B03D13" w:rsidRPr="009016B5" w:rsidRDefault="00B03D13" w:rsidP="00B03D13">
      <w:pPr>
        <w:jc w:val="both"/>
        <w:rPr>
          <w:rFonts w:cs="Arial"/>
          <w:u w:val="single"/>
          <w:lang w:val="nl-NL"/>
        </w:rPr>
      </w:pPr>
      <w:r w:rsidRPr="009016B5">
        <w:rPr>
          <w:rFonts w:cs="Arial"/>
          <w:u w:val="single"/>
          <w:lang w:val="nl-NL"/>
        </w:rPr>
        <w:t>Afvalstoffen opgehaald door het Gewestelijk Agentschap voor Netheid</w:t>
      </w:r>
    </w:p>
    <w:p w:rsidR="00B03D13" w:rsidRPr="009016B5" w:rsidRDefault="00B03D13" w:rsidP="00B03D13">
      <w:pPr>
        <w:jc w:val="both"/>
        <w:rPr>
          <w:rFonts w:cs="Arial"/>
          <w:lang w:val="nl-NL"/>
        </w:rPr>
      </w:pPr>
      <w:r w:rsidRPr="009016B5">
        <w:rPr>
          <w:rFonts w:cs="Arial"/>
          <w:lang w:val="nl-NL"/>
        </w:rPr>
        <w:t>De afvalstoffen die in aanmerking genomen moeten worden voor het berekenen van de belasting is het huishoudelijk afval dat door het Gewestelijk Agentschap voor Netheid of desgevallend door een van de volgende onderaannemers ervan wordt opgehaald:</w:t>
      </w:r>
    </w:p>
    <w:tbl>
      <w:tblPr>
        <w:tblStyle w:val="Grilledutableau"/>
        <w:tblW w:w="0" w:type="auto"/>
        <w:tblInd w:w="0" w:type="dxa"/>
        <w:tblLayout w:type="fixed"/>
        <w:tblLook w:val="04A0" w:firstRow="1" w:lastRow="0" w:firstColumn="1" w:lastColumn="0" w:noHBand="0" w:noVBand="1"/>
      </w:tblPr>
      <w:tblGrid>
        <w:gridCol w:w="1384"/>
        <w:gridCol w:w="7796"/>
      </w:tblGrid>
      <w:tr w:rsidR="00B03D13" w:rsidRPr="00B03D13" w:rsidTr="000E703B">
        <w:trPr>
          <w:trHeight w:val="907"/>
        </w:trPr>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pStyle w:val="Default"/>
              <w:jc w:val="both"/>
              <w:rPr>
                <w:rFonts w:asciiTheme="minorHAnsi" w:hAnsiTheme="minorHAnsi"/>
                <w:b/>
                <w:color w:val="auto"/>
                <w:sz w:val="22"/>
                <w:szCs w:val="22"/>
                <w:lang w:val="nl-NL"/>
              </w:rPr>
            </w:pPr>
            <w:r w:rsidRPr="009016B5">
              <w:rPr>
                <w:rFonts w:asciiTheme="minorHAnsi" w:hAnsiTheme="minorHAnsi"/>
                <w:b/>
                <w:color w:val="auto"/>
                <w:sz w:val="22"/>
                <w:lang w:val="nl-NL"/>
              </w:rPr>
              <w:t xml:space="preserve">Referentie </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b/>
                <w:lang w:val="nl-NL"/>
              </w:rPr>
            </w:pPr>
            <w:r w:rsidRPr="009016B5">
              <w:rPr>
                <w:rFonts w:cs="Arial"/>
                <w:b/>
                <w:lang w:val="nl-NL"/>
              </w:rPr>
              <w:t xml:space="preserve">Huishoudelijke afvalstromen opgehaald door het Gewestelijk Agentschap voor Netheid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A</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Tonnage (in ton) huishoudelijk afval dat niet-selectief aan huis door hefinrichtingen opgehaald wordt door het Agentschap en andere verbrandbaar afval dat beschouwd wordt als </w:t>
            </w:r>
            <w:r w:rsidRPr="009016B5">
              <w:rPr>
                <w:rFonts w:cs="Arial"/>
                <w:b/>
                <w:lang w:val="nl-NL"/>
              </w:rPr>
              <w:t>restafval</w:t>
            </w:r>
            <w:r w:rsidRPr="009016B5">
              <w:rPr>
                <w:rFonts w:cs="Arial"/>
                <w:lang w:val="nl-NL"/>
              </w:rPr>
              <w:t xml:space="preserve"> en verbrand. Dit afval omvat niet het veegvuil, het afval uit de openbare vuilnisbakken en het zwerfafval, dat niet aan de afvalstoffenhouder kan worden toegeschreven en dat verbrand wordt.</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Tonnage (in ton) huishoudelijk </w:t>
            </w:r>
            <w:r w:rsidRPr="009016B5">
              <w:rPr>
                <w:rFonts w:cs="Arial"/>
                <w:b/>
                <w:lang w:val="nl-NL"/>
              </w:rPr>
              <w:t>papier en karton</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PMD-afval</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B3</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groenafval</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B4</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glazen verpakkingen</w:t>
            </w:r>
            <w:r w:rsidRPr="009016B5">
              <w:rPr>
                <w:rFonts w:cs="Arial"/>
                <w:lang w:val="nl-NL"/>
              </w:rPr>
              <w:t xml:space="preserve"> afkomstig van huishoudens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B5</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voedselafval</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B6</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 xml:space="preserve">metalen </w:t>
            </w:r>
            <w:r w:rsidRPr="009016B5">
              <w:rPr>
                <w:rFonts w:cs="Arial"/>
                <w:lang w:val="nl-NL"/>
              </w:rPr>
              <w:t>afkomstig van huishoudens, die selectief opgehaald worden met het oog op recyclage, met uitzondering van schroot/slakken, die gesorteerd worden na verbranding.</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B7</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elektriciteitskabels</w:t>
            </w:r>
            <w:r w:rsidRPr="009016B5">
              <w:rPr>
                <w:rFonts w:cs="Arial"/>
                <w:lang w:val="nl-NL"/>
              </w:rPr>
              <w:t xml:space="preserve"> afkomstig van huishoudens, die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B8</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houtafval</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B9</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textielafval</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B10</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in hard plastic</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B11</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piepschuimafval</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B12</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bloempotten</w:t>
            </w:r>
            <w:r w:rsidRPr="009016B5">
              <w:rPr>
                <w:rFonts w:cs="Arial"/>
                <w:lang w:val="nl-NL"/>
              </w:rPr>
              <w:t xml:space="preserve"> afkomstig van huishoudens, die selectief opgehaald worden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B13</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plastic kratten</w:t>
            </w:r>
            <w:r w:rsidRPr="009016B5">
              <w:rPr>
                <w:rFonts w:cs="Arial"/>
                <w:lang w:val="nl-NL"/>
              </w:rPr>
              <w:t xml:space="preserve"> afkomstig van huishoudens, die selectief opgehaald worden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lastRenderedPageBreak/>
              <w:t>B14</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loodhoudende batterijen</w:t>
            </w:r>
            <w:r w:rsidRPr="009016B5">
              <w:rPr>
                <w:rFonts w:cs="Arial"/>
                <w:lang w:val="nl-NL"/>
              </w:rPr>
              <w:t xml:space="preserve"> afkomstig van huishoudens, die selectief opgehaald worden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B15</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chemisch afval</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B16</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van houtpalletten</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B17</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afval </w:t>
            </w:r>
            <w:r w:rsidRPr="009016B5">
              <w:rPr>
                <w:rFonts w:cs="Arial"/>
                <w:b/>
                <w:lang w:val="nl-NL"/>
              </w:rPr>
              <w:t>van vlakglas</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B18</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grofvuil</w:t>
            </w:r>
            <w:r w:rsidRPr="009016B5">
              <w:rPr>
                <w:rFonts w:cs="Arial"/>
                <w:lang w:val="nl-NL"/>
              </w:rPr>
              <w:t xml:space="preserve"> afkomstig van huishoudens,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B19</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inert afval</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B20</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van gipskartonplaten/gyproc</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B21</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van keramiek en porselein</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B22</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van minerale oliën</w:t>
            </w:r>
            <w:r w:rsidRPr="009016B5">
              <w:rPr>
                <w:rFonts w:cs="Arial"/>
                <w:lang w:val="nl-NL"/>
              </w:rPr>
              <w:t xml:space="preserve"> dat selectief opgehaald wordt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afval dat selectief opgehaald* wordt door het Agentschap, als volgt berekend: </w:t>
            </w:r>
          </w:p>
          <w:p w:rsidR="00B03D13" w:rsidRPr="009016B5" w:rsidRDefault="00B03D13" w:rsidP="000E703B">
            <w:pPr>
              <w:jc w:val="both"/>
              <w:rPr>
                <w:rFonts w:cs="Arial"/>
                <w:lang w:val="nl-NL"/>
              </w:rPr>
            </w:pPr>
            <w:r w:rsidRPr="009016B5">
              <w:rPr>
                <w:rFonts w:cs="Arial"/>
                <w:lang w:val="nl-NL"/>
              </w:rPr>
              <w:t>B= som van B1 tot B22</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B23*</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draagbare batterijen en accu’s</w:t>
            </w:r>
            <w:r w:rsidRPr="009016B5">
              <w:rPr>
                <w:rFonts w:cs="Arial"/>
                <w:lang w:val="nl-NL"/>
              </w:rPr>
              <w:t xml:space="preserve"> afkomstig van huishoudens, die selectief opgehaald worden met het oog op recyclage</w:t>
            </w:r>
          </w:p>
        </w:tc>
      </w:tr>
      <w:tr w:rsidR="00B03D13" w:rsidRPr="0008235E"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B24*</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Totaal vervallen geneesmiddelen (in ton)  afkomstig van huishoudens, die selectief opgehaald worden</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B25*</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banden van de categorie "personenwagens"</w:t>
            </w:r>
            <w:r w:rsidRPr="009016B5">
              <w:rPr>
                <w:rFonts w:cs="Arial"/>
                <w:lang w:val="nl-NL"/>
              </w:rPr>
              <w:t>, afkomstig van huishoudens, die selectief opgehaald worden</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B26*</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huishoudelijke </w:t>
            </w:r>
            <w:r w:rsidRPr="009016B5">
              <w:rPr>
                <w:rFonts w:cs="Arial"/>
                <w:b/>
                <w:lang w:val="nl-NL"/>
              </w:rPr>
              <w:t>voedingsoliën en -vetten</w:t>
            </w:r>
            <w:r w:rsidRPr="009016B5">
              <w:rPr>
                <w:rFonts w:cs="Arial"/>
                <w:lang w:val="nl-NL"/>
              </w:rPr>
              <w:t xml:space="preserve"> die selectief opgehaald worden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B27*</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afgedankte elektrische en elektronische apparatuur</w:t>
            </w:r>
            <w:r w:rsidRPr="009016B5">
              <w:rPr>
                <w:rFonts w:cs="Arial"/>
                <w:lang w:val="nl-NL"/>
              </w:rPr>
              <w:t xml:space="preserve"> afkomstig van huishoudens, die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B28*</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van minerale oliën</w:t>
            </w:r>
            <w:r w:rsidRPr="009016B5">
              <w:rPr>
                <w:rFonts w:cs="Arial"/>
                <w:lang w:val="nl-NL"/>
              </w:rPr>
              <w:t xml:space="preserve"> dat selectief opgehaald wordt met het oog op recyclage</w:t>
            </w:r>
          </w:p>
        </w:tc>
      </w:tr>
    </w:tbl>
    <w:p w:rsidR="00B03D13" w:rsidRPr="009016B5" w:rsidRDefault="00B03D13" w:rsidP="00B03D13">
      <w:pPr>
        <w:jc w:val="both"/>
        <w:rPr>
          <w:rFonts w:cs="Arial"/>
          <w:lang w:val="nl-NL"/>
        </w:rPr>
      </w:pPr>
    </w:p>
    <w:p w:rsidR="00B03D13" w:rsidRPr="009016B5" w:rsidRDefault="00B03D13" w:rsidP="00B03D13">
      <w:pPr>
        <w:jc w:val="both"/>
        <w:rPr>
          <w:rFonts w:cs="Arial"/>
          <w:lang w:val="nl-NL"/>
        </w:rPr>
      </w:pPr>
      <w:r w:rsidRPr="009016B5">
        <w:rPr>
          <w:rFonts w:cs="Arial"/>
          <w:lang w:val="nl-NL"/>
        </w:rPr>
        <w:t>*Het ander huishoudelijk afval dat selectief door het Agentschap wordt opgehaald en dat valt onder de afvalstromen die het voorwerp uitmaken van een Uitgebreide Producentenverantwoordelijkheid (Referentie B23 tot B28) wordt meegerekend onder kader E "Huishoudelijke afvalstoffen ingezameld door kleinhandelaars".</w:t>
      </w:r>
    </w:p>
    <w:p w:rsidR="00B03D13" w:rsidRPr="009016B5" w:rsidRDefault="00B03D13" w:rsidP="00B03D13">
      <w:pPr>
        <w:jc w:val="both"/>
        <w:rPr>
          <w:rFonts w:cs="Arial"/>
          <w:lang w:val="nl-NL"/>
        </w:rPr>
      </w:pPr>
      <w:r w:rsidRPr="009016B5">
        <w:rPr>
          <w:lang w:val="nl-NL"/>
        </w:rPr>
        <w:t>Het ander huishoudelijk afval dat collectief wordt ingezameld door het Agentschap en dat wordt overhandigd aan een vennootschap met sociaal oogmerk, wordt opgenomen in kader C “Huishoudelijk afval ingezameld door vennootschappen met sociaal oogmerk met hergebruik en recyclage als doel.”</w:t>
      </w:r>
    </w:p>
    <w:p w:rsidR="00B03D13" w:rsidRPr="009016B5" w:rsidRDefault="00B03D13" w:rsidP="00B03D13">
      <w:pPr>
        <w:jc w:val="both"/>
        <w:rPr>
          <w:rFonts w:cs="Arial"/>
          <w:lang w:val="nl-NL"/>
        </w:rPr>
      </w:pPr>
      <w:r w:rsidRPr="009016B5">
        <w:rPr>
          <w:rFonts w:cs="Arial"/>
          <w:lang w:val="nl-NL"/>
        </w:rPr>
        <w:t>Voor elke afvalstroom die in de tabel opgenomen is, moet een gedetailleerd verslag worden opgesteld met betrekking tot de periode in kwestie, met vermelding van:</w:t>
      </w: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t>de gebruikte ophaalvoorzieningen;</w:t>
      </w: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lastRenderedPageBreak/>
        <w:t>de wijze om het gewicht van het afval te bepalen (wegen, methode om het gewicht te schatten,...) en de onzekerheidsmarge;</w:t>
      </w: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t>de methode om het aandeel niet-huishoudelijke afvalstoffen te bepalen, als de afvalstroom in kwestie wordt opgehaald op een manier waarbij huishoudelijk afval vermengd wordt met afval van andere afvalproducenten, evenals het ogenblik van de laatste bepaling van het huishoudelijk deel;</w:t>
      </w: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t xml:space="preserve">het verwerkingscircuit dat de afvalstroom volgt, met identificatie van de verwerkingseenheid (-eenheden); </w:t>
      </w:r>
    </w:p>
    <w:p w:rsidR="00B03D13" w:rsidRPr="009016B5" w:rsidRDefault="00B03D13" w:rsidP="00B03D13">
      <w:pPr>
        <w:pStyle w:val="Paragraphedeliste"/>
        <w:numPr>
          <w:ilvl w:val="0"/>
          <w:numId w:val="5"/>
        </w:numPr>
        <w:jc w:val="both"/>
        <w:rPr>
          <w:rFonts w:asciiTheme="minorHAnsi" w:hAnsiTheme="minorHAnsi" w:cs="Arial"/>
          <w:lang w:val="nl-NL"/>
        </w:rPr>
      </w:pPr>
      <w:r w:rsidRPr="009016B5">
        <w:rPr>
          <w:rFonts w:asciiTheme="minorHAnsi" w:hAnsiTheme="minorHAnsi" w:cs="Arial"/>
          <w:lang w:val="nl-NL"/>
        </w:rPr>
        <w:t>Periode waarbinnen de tonnage geleverd werd indien afwijkend van de periode van 1 januari tot 31 december van het belastingjaar in kwestie.</w:t>
      </w:r>
    </w:p>
    <w:p w:rsidR="00B03D13" w:rsidRPr="009016B5" w:rsidRDefault="00B03D13" w:rsidP="00B03D13">
      <w:pPr>
        <w:jc w:val="both"/>
        <w:rPr>
          <w:rFonts w:cs="Arial"/>
          <w:lang w:val="nl-NL"/>
        </w:rPr>
      </w:pPr>
      <w:r w:rsidRPr="009016B5">
        <w:rPr>
          <w:rFonts w:cs="Arial"/>
          <w:lang w:val="nl-NL"/>
        </w:rPr>
        <w:t>Om de twee jaar doet het Agentschap een beroep op het Brussels Instituut voor Statistiek en Analyse (BISA) om de kwaliteit van dit verslag te analyseren. Dit verslag wordt dan bij de volgende aangifte gevoegd.</w:t>
      </w:r>
    </w:p>
    <w:p w:rsidR="00B03D13" w:rsidRPr="009016B5" w:rsidRDefault="00B03D13" w:rsidP="00B03D13">
      <w:pPr>
        <w:jc w:val="both"/>
        <w:rPr>
          <w:rFonts w:cs="Arial"/>
          <w:u w:val="single"/>
          <w:lang w:val="nl-NL"/>
        </w:rPr>
      </w:pPr>
      <w:r w:rsidRPr="009016B5">
        <w:rPr>
          <w:rFonts w:cs="Arial"/>
          <w:u w:val="single"/>
          <w:lang w:val="nl-NL"/>
        </w:rPr>
        <w:t>Huishoudelijke afvalstoffen die selectief worden opgehaald door "vennootschappen met sociaal oogmerk", zoals omschreven in artikel 1.1., § 1, 21 van het besluit van 1 december 2016 betreffende het beheer van afvalstoffen</w:t>
      </w:r>
    </w:p>
    <w:p w:rsidR="00B03D13" w:rsidRPr="009016B5" w:rsidRDefault="00B03D13" w:rsidP="00B03D13">
      <w:pPr>
        <w:jc w:val="both"/>
        <w:rPr>
          <w:rFonts w:cs="Arial"/>
          <w:lang w:val="nl-NL"/>
        </w:rPr>
      </w:pPr>
      <w:r w:rsidRPr="009016B5">
        <w:rPr>
          <w:rFonts w:cs="Arial"/>
          <w:lang w:val="nl-NL"/>
        </w:rPr>
        <w:t xml:space="preserve">Deze informatie wordt door </w:t>
      </w:r>
      <w:r>
        <w:rPr>
          <w:rFonts w:cs="Arial"/>
          <w:lang w:val="nl-NL"/>
        </w:rPr>
        <w:t>Leefmilieu Brussel</w:t>
      </w:r>
      <w:r w:rsidRPr="009016B5">
        <w:rPr>
          <w:rFonts w:cs="Arial"/>
          <w:lang w:val="nl-NL"/>
        </w:rPr>
        <w:t xml:space="preserve"> ingezameld in het kader van de erkenning en de subsidiëring van vennootschappen met sociaal oogmerk. </w:t>
      </w:r>
    </w:p>
    <w:tbl>
      <w:tblPr>
        <w:tblStyle w:val="Grilledutableau"/>
        <w:tblW w:w="9180" w:type="dxa"/>
        <w:tblInd w:w="0" w:type="dxa"/>
        <w:tblLook w:val="04A0" w:firstRow="1" w:lastRow="0" w:firstColumn="1" w:lastColumn="0" w:noHBand="0" w:noVBand="1"/>
      </w:tblPr>
      <w:tblGrid>
        <w:gridCol w:w="1384"/>
        <w:gridCol w:w="7796"/>
      </w:tblGrid>
      <w:tr w:rsidR="00B03D13" w:rsidRPr="00B03D13" w:rsidTr="000E703B">
        <w:trPr>
          <w:trHeight w:val="568"/>
        </w:trPr>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b/>
                <w:lang w:val="nl-NL"/>
              </w:rPr>
            </w:pPr>
            <w:r w:rsidRPr="009016B5">
              <w:rPr>
                <w:rFonts w:cs="Arial"/>
                <w:b/>
                <w:lang w:val="nl-NL"/>
              </w:rPr>
              <w:t>Referentie</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b/>
                <w:lang w:val="nl-NL"/>
              </w:rPr>
            </w:pPr>
            <w:r w:rsidRPr="009016B5">
              <w:rPr>
                <w:rFonts w:cs="Arial"/>
                <w:b/>
                <w:lang w:val="nl-NL"/>
              </w:rPr>
              <w:t>Afvalstoffen die selectief worden opgehaald door vennootschappen met sociaal oogmerk, met het oog op hergebruik of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C1.</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Totaal (in ton) afgedankte elektrische en elektronische apparatuur die selectief opgehaald wordt met het oog op hergebruik of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C2.</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Totaal (in ton) textielafval dat selectief opgehaald wordt met het oog op hergebruik of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C3.</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Totaal (in ton) grofvuil dat selectief opgehaald wordt met het oog op hergebruik of recyclage</w:t>
            </w:r>
          </w:p>
        </w:tc>
      </w:tr>
      <w:tr w:rsidR="00B03D13" w:rsidRPr="00B03D13" w:rsidTr="000E703B">
        <w:trPr>
          <w:trHeight w:val="595"/>
        </w:trPr>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C4.</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afval van verbruiksartikelen voor computers, zoals inktpatronen en lasertoners, die selectief opgehaald worden met het oog op hergebruik of recyclage </w:t>
            </w:r>
          </w:p>
        </w:tc>
      </w:tr>
      <w:tr w:rsidR="00B03D13" w:rsidRPr="00B03D13" w:rsidTr="000E703B">
        <w:trPr>
          <w:trHeight w:val="595"/>
        </w:trPr>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C</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Totaal (in ton) huishoudelijke afvalstoffen die selectief worden opgehaald* door "vennootschappen met sociaal oogmerk", zoals omschreven in artikel 1, 7°, als volgt berekend:</w:t>
            </w:r>
          </w:p>
          <w:p w:rsidR="00B03D13" w:rsidRPr="009016B5" w:rsidRDefault="00B03D13" w:rsidP="000E703B">
            <w:pPr>
              <w:jc w:val="both"/>
              <w:rPr>
                <w:rFonts w:cs="Arial"/>
                <w:lang w:val="nl-NL"/>
              </w:rPr>
            </w:pPr>
            <w:r w:rsidRPr="009016B5">
              <w:rPr>
                <w:rFonts w:cs="Arial"/>
                <w:lang w:val="nl-NL"/>
              </w:rPr>
              <w:t>C= som van C1 tot C4</w:t>
            </w:r>
          </w:p>
        </w:tc>
      </w:tr>
    </w:tbl>
    <w:p w:rsidR="00B03D13" w:rsidRPr="009016B5" w:rsidRDefault="00B03D13" w:rsidP="00B03D13">
      <w:pPr>
        <w:jc w:val="both"/>
        <w:rPr>
          <w:rFonts w:cs="Arial"/>
          <w:lang w:val="nl-NL"/>
        </w:rPr>
      </w:pPr>
      <w:r w:rsidRPr="009016B5">
        <w:rPr>
          <w:rFonts w:cs="Arial"/>
          <w:lang w:val="nl-NL"/>
        </w:rPr>
        <w:t>*Het ander huishoudelijk afval dat selectief wordt opgehaald* door vennootschappen met sociaal oogmerk en dat valt onder de afvalstromen die het voorwerp uitmaken van een Uitgebreide Producentenverantwoordelijkheid wordt meegerekend onder kader E "Huishoudelijke afvalstoffen ingezameld door kleinhandelaars".</w:t>
      </w:r>
    </w:p>
    <w:p w:rsidR="00B03D13" w:rsidRPr="009016B5" w:rsidRDefault="00B03D13" w:rsidP="00B03D13">
      <w:pPr>
        <w:jc w:val="both"/>
        <w:rPr>
          <w:rFonts w:cs="Arial"/>
          <w:u w:val="single"/>
          <w:lang w:val="nl-NL"/>
        </w:rPr>
      </w:pPr>
      <w:r w:rsidRPr="009016B5">
        <w:rPr>
          <w:rFonts w:cs="Arial"/>
          <w:u w:val="single"/>
          <w:lang w:val="nl-NL"/>
        </w:rPr>
        <w:t>Huishoudelijke afvalstoffen die selectief worden opgehaald door de gemeenten met het oog op hergebruik of recyclage</w:t>
      </w:r>
    </w:p>
    <w:p w:rsidR="00B03D13" w:rsidRPr="009016B5" w:rsidRDefault="00B03D13" w:rsidP="00B03D13">
      <w:pPr>
        <w:jc w:val="both"/>
        <w:rPr>
          <w:rFonts w:cs="Arial"/>
          <w:lang w:val="nl-NL"/>
        </w:rPr>
      </w:pPr>
      <w:r w:rsidRPr="009016B5">
        <w:rPr>
          <w:rFonts w:cs="Arial"/>
          <w:lang w:val="nl-NL"/>
        </w:rPr>
        <w:t xml:space="preserve">Deze informatie wordt door </w:t>
      </w:r>
      <w:r>
        <w:rPr>
          <w:rFonts w:cs="Arial"/>
          <w:lang w:val="nl-NL"/>
        </w:rPr>
        <w:t>Leefmilieu Brussel</w:t>
      </w:r>
      <w:r w:rsidRPr="009016B5">
        <w:rPr>
          <w:rFonts w:cs="Arial"/>
          <w:lang w:val="nl-NL"/>
        </w:rPr>
        <w:t xml:space="preserve"> ingezameld in het kader van de subsidiëring van de gemeenten voor de aanleg en de exploitatie van containerparken, in toepassing van het besluit van 13 mei 2004 van de Brusselse Hoofdstedelijke Regering betreffende de betoelaging van de gemeenten voor de aanleg en de exploitatie van containerparken.</w:t>
      </w:r>
    </w:p>
    <w:tbl>
      <w:tblPr>
        <w:tblStyle w:val="Grilledutableau"/>
        <w:tblW w:w="9180" w:type="dxa"/>
        <w:tblInd w:w="0" w:type="dxa"/>
        <w:tblLook w:val="04A0" w:firstRow="1" w:lastRow="0" w:firstColumn="1" w:lastColumn="0" w:noHBand="0" w:noVBand="1"/>
      </w:tblPr>
      <w:tblGrid>
        <w:gridCol w:w="1377"/>
        <w:gridCol w:w="7803"/>
      </w:tblGrid>
      <w:tr w:rsidR="00B03D13" w:rsidRPr="00B03D13" w:rsidTr="000E703B">
        <w:tc>
          <w:tcPr>
            <w:tcW w:w="1377"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jc w:val="both"/>
              <w:rPr>
                <w:rFonts w:cs="Arial"/>
                <w:lang w:val="nl-NL"/>
              </w:rPr>
            </w:pPr>
          </w:p>
          <w:p w:rsidR="00B03D13" w:rsidRPr="009016B5" w:rsidRDefault="00B03D13" w:rsidP="000E703B">
            <w:pPr>
              <w:jc w:val="both"/>
              <w:rPr>
                <w:rFonts w:cs="Arial"/>
                <w:b/>
                <w:lang w:val="nl-NL"/>
              </w:rPr>
            </w:pPr>
            <w:r w:rsidRPr="009016B5">
              <w:rPr>
                <w:rFonts w:cs="Arial"/>
                <w:b/>
                <w:lang w:val="nl-NL"/>
              </w:rPr>
              <w:t>Referentie</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b/>
                <w:lang w:val="nl-NL"/>
              </w:rPr>
            </w:pPr>
            <w:r w:rsidRPr="009016B5">
              <w:rPr>
                <w:rFonts w:cs="Arial"/>
                <w:b/>
                <w:lang w:val="nl-NL"/>
              </w:rPr>
              <w:t>Afvalstoffen die selectief worden opgehaald door de gemeenten met het oog op hergebruik of recyclage en niet meegerekend worden in kader B.</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D1.</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grofvuil</w:t>
            </w:r>
            <w:r w:rsidRPr="009016B5">
              <w:rPr>
                <w:rFonts w:cs="Arial"/>
                <w:lang w:val="nl-NL"/>
              </w:rPr>
              <w:t xml:space="preserve"> afkomstig van huishoudens, dat selectief opgehaald wordt met het oog op recyclage </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D2</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bouwafval</w:t>
            </w:r>
            <w:r w:rsidRPr="009016B5">
              <w:rPr>
                <w:rFonts w:cs="Arial"/>
                <w:lang w:val="nl-NL"/>
              </w:rPr>
              <w:t xml:space="preserve"> dat selectief opgehaald wordt met het oog op hergebruik en recyclage </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D3</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papier- en kartonafval</w:t>
            </w:r>
            <w:r w:rsidRPr="009016B5">
              <w:rPr>
                <w:rFonts w:cs="Arial"/>
                <w:lang w:val="nl-NL"/>
              </w:rPr>
              <w:t xml:space="preserve"> dat selectief opgehaald wordt met het oog op hergebruik en recyclage </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D4</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glas- en plastic afval en afval van drankkartons</w:t>
            </w:r>
            <w:r w:rsidRPr="009016B5">
              <w:rPr>
                <w:rFonts w:cs="Arial"/>
                <w:lang w:val="nl-NL"/>
              </w:rPr>
              <w:t xml:space="preserve"> dat selectief opgehaald wordt met het oog op hergebruik en recyclage </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D5</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Totaal (in ton) huishoudelijk</w:t>
            </w:r>
            <w:r w:rsidRPr="009016B5">
              <w:rPr>
                <w:rFonts w:cs="Arial"/>
                <w:b/>
                <w:lang w:val="nl-NL"/>
              </w:rPr>
              <w:t xml:space="preserve"> chemisch afval</w:t>
            </w:r>
            <w:r w:rsidRPr="009016B5">
              <w:rPr>
                <w:rFonts w:cs="Arial"/>
                <w:lang w:val="nl-NL"/>
              </w:rPr>
              <w:t xml:space="preserve"> dat selectief opgehaald wordt met het oog op hergebruik en recyclage </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D6</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groenafval</w:t>
            </w:r>
            <w:r w:rsidRPr="009016B5">
              <w:rPr>
                <w:rFonts w:cs="Arial"/>
                <w:lang w:val="nl-NL"/>
              </w:rPr>
              <w:t xml:space="preserve"> dat selectief opgehaald wordt met het oog op recyclage</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D7</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metalen</w:t>
            </w:r>
            <w:r w:rsidRPr="009016B5">
              <w:rPr>
                <w:rFonts w:cs="Arial"/>
                <w:lang w:val="nl-NL"/>
              </w:rPr>
              <w:t xml:space="preserve"> afkomstig van huishoudens, die selectief opgehaald worden met het oog op recyclage</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D8</w:t>
            </w:r>
          </w:p>
        </w:tc>
        <w:tc>
          <w:tcPr>
            <w:tcW w:w="7803"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houtafval</w:t>
            </w:r>
            <w:r w:rsidRPr="009016B5">
              <w:rPr>
                <w:rFonts w:cs="Arial"/>
                <w:lang w:val="nl-NL"/>
              </w:rPr>
              <w:t xml:space="preserve"> dat selectief opgehaald wordt met het oog op recyclage en hergebruik </w:t>
            </w:r>
          </w:p>
        </w:tc>
      </w:tr>
      <w:tr w:rsidR="00B03D13" w:rsidRPr="00B03D13" w:rsidTr="000E703B">
        <w:tc>
          <w:tcPr>
            <w:tcW w:w="1377"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D</w:t>
            </w:r>
          </w:p>
        </w:tc>
        <w:tc>
          <w:tcPr>
            <w:tcW w:w="7803"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jc w:val="both"/>
              <w:rPr>
                <w:rFonts w:cs="Arial"/>
                <w:lang w:val="nl-NL"/>
              </w:rPr>
            </w:pPr>
            <w:r w:rsidRPr="009016B5">
              <w:rPr>
                <w:rFonts w:cs="Arial"/>
                <w:lang w:val="nl-NL"/>
              </w:rPr>
              <w:t>Totaal (in ton) huishoudelijk afval dat selectief opgehaald wordt door de gemeenten met het oog op hergebruik of recyclage, als volgt berekend:</w:t>
            </w:r>
          </w:p>
          <w:p w:rsidR="00B03D13" w:rsidRPr="009016B5" w:rsidRDefault="00B03D13" w:rsidP="000E703B">
            <w:pPr>
              <w:jc w:val="both"/>
              <w:rPr>
                <w:rFonts w:cs="Arial"/>
                <w:u w:val="single"/>
                <w:lang w:val="nl-NL"/>
              </w:rPr>
            </w:pPr>
            <w:r w:rsidRPr="009016B5">
              <w:rPr>
                <w:rFonts w:cs="Arial"/>
                <w:lang w:val="nl-NL"/>
              </w:rPr>
              <w:t>D= som van D1 tot D8</w:t>
            </w:r>
          </w:p>
          <w:p w:rsidR="00B03D13" w:rsidRPr="009016B5" w:rsidRDefault="00B03D13" w:rsidP="000E703B">
            <w:pPr>
              <w:jc w:val="both"/>
              <w:rPr>
                <w:rFonts w:cs="Arial"/>
                <w:lang w:val="nl-NL"/>
              </w:rPr>
            </w:pPr>
          </w:p>
        </w:tc>
      </w:tr>
    </w:tbl>
    <w:p w:rsidR="00B03D13" w:rsidRPr="009016B5" w:rsidRDefault="00B03D13" w:rsidP="00B03D13">
      <w:pPr>
        <w:jc w:val="both"/>
        <w:rPr>
          <w:rFonts w:cs="Arial"/>
          <w:lang w:val="nl-NL"/>
        </w:rPr>
      </w:pPr>
    </w:p>
    <w:p w:rsidR="00B03D13" w:rsidRPr="009016B5" w:rsidRDefault="00B03D13" w:rsidP="00B03D13">
      <w:pPr>
        <w:jc w:val="both"/>
        <w:rPr>
          <w:rFonts w:cs="Arial"/>
          <w:u w:val="single"/>
          <w:lang w:val="nl-NL"/>
        </w:rPr>
      </w:pPr>
      <w:r w:rsidRPr="009016B5">
        <w:rPr>
          <w:rFonts w:cs="Arial"/>
          <w:u w:val="single"/>
          <w:lang w:val="nl-NL"/>
        </w:rPr>
        <w:t>Het huishoudelijk afval ingezameld door de kleinhandelaars van het BHG in het kader van de terugnameplicht</w:t>
      </w:r>
    </w:p>
    <w:p w:rsidR="00B03D13" w:rsidRPr="009016B5" w:rsidRDefault="00B03D13" w:rsidP="00B03D13">
      <w:pPr>
        <w:jc w:val="both"/>
        <w:rPr>
          <w:lang w:val="nl-NL"/>
        </w:rPr>
      </w:pPr>
      <w:r w:rsidRPr="009016B5">
        <w:rPr>
          <w:rFonts w:cs="Arial"/>
          <w:lang w:val="nl-NL"/>
        </w:rPr>
        <w:t xml:space="preserve">Deze informatie wordt door </w:t>
      </w:r>
      <w:r>
        <w:rPr>
          <w:rFonts w:cs="Arial"/>
          <w:lang w:val="nl-NL"/>
        </w:rPr>
        <w:t>Leefmilieu Brussel</w:t>
      </w:r>
      <w:r w:rsidRPr="009016B5">
        <w:rPr>
          <w:rFonts w:cs="Arial"/>
          <w:lang w:val="nl-NL"/>
        </w:rPr>
        <w:t xml:space="preserve"> ingezameld in het kader van de opvolging van de Uitgebreide Producentenverantwoordelijkheid krachtens titel II van het besluit van 1</w:t>
      </w:r>
      <w:r w:rsidRPr="00D66882">
        <w:rPr>
          <w:lang w:val="nl-NL"/>
        </w:rPr>
        <w:t xml:space="preserve"> </w:t>
      </w:r>
      <w:r w:rsidRPr="009016B5">
        <w:rPr>
          <w:lang w:val="nl-NL"/>
        </w:rPr>
        <w:t>december 2016 en hoofdstukken 2 en 3 van titel IV van hetzelfde besluit. De gegevens zijn afkomstig van de activiteitenverslagen overgemaakt door de instellingen belast met de uitgebreide producentenverantwoordelijkheid</w:t>
      </w:r>
    </w:p>
    <w:tbl>
      <w:tblPr>
        <w:tblStyle w:val="Grilledutableau"/>
        <w:tblW w:w="0" w:type="auto"/>
        <w:tblInd w:w="0" w:type="dxa"/>
        <w:tblLook w:val="04A0" w:firstRow="1" w:lastRow="0" w:firstColumn="1" w:lastColumn="0" w:noHBand="0" w:noVBand="1"/>
      </w:tblPr>
      <w:tblGrid>
        <w:gridCol w:w="1384"/>
        <w:gridCol w:w="7796"/>
      </w:tblGrid>
      <w:tr w:rsidR="00B03D13" w:rsidRPr="00B03D13" w:rsidTr="000E703B">
        <w:tc>
          <w:tcPr>
            <w:tcW w:w="1384"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jc w:val="both"/>
              <w:rPr>
                <w:rFonts w:cs="Arial"/>
                <w:lang w:val="nl-NL"/>
              </w:rPr>
            </w:pPr>
          </w:p>
          <w:p w:rsidR="00B03D13" w:rsidRPr="009016B5" w:rsidRDefault="00B03D13" w:rsidP="000E703B">
            <w:pPr>
              <w:jc w:val="both"/>
              <w:rPr>
                <w:lang w:val="nl-NL"/>
              </w:rPr>
            </w:pPr>
            <w:r w:rsidRPr="009016B5">
              <w:rPr>
                <w:rFonts w:cs="Arial"/>
                <w:lang w:val="nl-NL"/>
              </w:rPr>
              <w:t>Referentie</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Huishoudelijke afvalstoffen ingezameld door kleinhandelaars op het grondgebied van het Gewest in het kader van hun terugnameplicht (inclusief de hoeveelheden ingezameld door de belastingplichtige, de gemeenten en de vennootschappen met sociaal oogmerk)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E1</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draagbare batterijen en accu’s</w:t>
            </w:r>
            <w:r w:rsidRPr="009016B5">
              <w:rPr>
                <w:rFonts w:cs="Arial"/>
                <w:lang w:val="nl-NL"/>
              </w:rPr>
              <w:t xml:space="preserve"> afkomstig van huishoudens, die selectief opgehaald worden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E2</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 xml:space="preserve">vervallen geneesmiddelen </w:t>
            </w:r>
            <w:r w:rsidRPr="009016B5">
              <w:rPr>
                <w:rFonts w:cs="Arial"/>
                <w:lang w:val="nl-NL"/>
              </w:rPr>
              <w:t>afkomstig van huishoudens, die selectief opgehaald worden</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E3</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banden van de categorie "personenwagens"</w:t>
            </w:r>
            <w:r w:rsidRPr="009016B5">
              <w:rPr>
                <w:rFonts w:cs="Arial"/>
                <w:lang w:val="nl-NL"/>
              </w:rPr>
              <w:t>, afkomstig van huishoudens, die selectief opgehaald worden</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E4</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huishoudelijke </w:t>
            </w:r>
            <w:r w:rsidRPr="009016B5">
              <w:rPr>
                <w:rFonts w:cs="Arial"/>
                <w:b/>
                <w:lang w:val="nl-NL"/>
              </w:rPr>
              <w:t>voedingsoliën en -vetten</w:t>
            </w:r>
            <w:r w:rsidRPr="009016B5">
              <w:rPr>
                <w:rFonts w:cs="Arial"/>
                <w:lang w:val="nl-NL"/>
              </w:rPr>
              <w:t xml:space="preserve"> die selectief opgehaald worden met het oog op recyclage </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E5</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w:t>
            </w:r>
            <w:r w:rsidRPr="009016B5">
              <w:rPr>
                <w:rFonts w:cs="Arial"/>
                <w:b/>
                <w:lang w:val="nl-NL"/>
              </w:rPr>
              <w:t>afgedankte elektrische en elektronische apparatuur</w:t>
            </w:r>
            <w:r w:rsidRPr="009016B5">
              <w:rPr>
                <w:rFonts w:cs="Arial"/>
                <w:lang w:val="nl-NL"/>
              </w:rPr>
              <w:t xml:space="preserve"> afkomstig van huishoudens, die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E6</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w:t>
            </w:r>
            <w:r w:rsidRPr="009016B5">
              <w:rPr>
                <w:rFonts w:cs="Arial"/>
                <w:b/>
                <w:lang w:val="nl-NL"/>
              </w:rPr>
              <w:t>afval van minerale oliën</w:t>
            </w:r>
            <w:r w:rsidRPr="009016B5">
              <w:rPr>
                <w:rFonts w:cs="Arial"/>
                <w:lang w:val="nl-NL"/>
              </w:rPr>
              <w:t xml:space="preserve"> dat selectief opgehaald wordt met het oog op recyclage</w:t>
            </w:r>
          </w:p>
        </w:tc>
      </w:tr>
      <w:tr w:rsidR="00B03D13" w:rsidRPr="00B03D13" w:rsidTr="000E703B">
        <w:tc>
          <w:tcPr>
            <w:tcW w:w="1384"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E</w:t>
            </w:r>
          </w:p>
        </w:tc>
        <w:tc>
          <w:tcPr>
            <w:tcW w:w="7796"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 xml:space="preserve">Totaal (in ton) huishoudelijk afval ingezameld door de kleinhandelaars van het BHG </w:t>
            </w:r>
            <w:r w:rsidRPr="009016B5">
              <w:rPr>
                <w:rFonts w:cs="Arial"/>
                <w:lang w:val="nl-NL"/>
              </w:rPr>
              <w:lastRenderedPageBreak/>
              <w:t>in het kader van de terugnameplicht, als volgt berekend:</w:t>
            </w:r>
          </w:p>
          <w:p w:rsidR="00B03D13" w:rsidRPr="009016B5" w:rsidRDefault="00B03D13" w:rsidP="000E703B">
            <w:pPr>
              <w:jc w:val="both"/>
              <w:rPr>
                <w:rFonts w:cs="Arial"/>
                <w:lang w:val="nl-NL"/>
              </w:rPr>
            </w:pPr>
            <w:r w:rsidRPr="009016B5">
              <w:rPr>
                <w:rFonts w:cs="Arial"/>
                <w:lang w:val="nl-NL"/>
              </w:rPr>
              <w:t>E= som van E1 tot E6</w:t>
            </w:r>
          </w:p>
        </w:tc>
      </w:tr>
    </w:tbl>
    <w:p w:rsidR="00B03D13" w:rsidRPr="009016B5" w:rsidRDefault="00B03D13" w:rsidP="00B03D13">
      <w:pPr>
        <w:jc w:val="both"/>
        <w:rPr>
          <w:rFonts w:cs="Arial"/>
          <w:lang w:val="nl-NL"/>
        </w:rPr>
      </w:pPr>
    </w:p>
    <w:p w:rsidR="00B03D13" w:rsidRPr="009016B5" w:rsidRDefault="00B03D13" w:rsidP="00B03D13">
      <w:pPr>
        <w:jc w:val="both"/>
        <w:rPr>
          <w:rFonts w:cs="Arial"/>
          <w:u w:val="single"/>
          <w:lang w:val="nl-NL"/>
        </w:rPr>
      </w:pPr>
      <w:r w:rsidRPr="009016B5">
        <w:rPr>
          <w:rFonts w:cs="Arial"/>
          <w:u w:val="single"/>
          <w:lang w:val="nl-NL"/>
        </w:rPr>
        <w:t>Huishoudelijke organische afvalstoffen die behandeld worden in wijkcomposteercentra</w:t>
      </w:r>
    </w:p>
    <w:p w:rsidR="00B03D13" w:rsidRPr="009016B5" w:rsidRDefault="00B03D13" w:rsidP="00B03D13">
      <w:pPr>
        <w:jc w:val="both"/>
        <w:rPr>
          <w:rFonts w:cs="Arial"/>
          <w:lang w:val="nl-NL"/>
        </w:rPr>
      </w:pPr>
      <w:r w:rsidRPr="009016B5">
        <w:rPr>
          <w:rFonts w:cs="Arial"/>
          <w:lang w:val="nl-NL"/>
        </w:rPr>
        <w:t xml:space="preserve">Deze informatie wordt door </w:t>
      </w:r>
      <w:r>
        <w:rPr>
          <w:rFonts w:cs="Arial"/>
          <w:lang w:val="nl-NL"/>
        </w:rPr>
        <w:t>Leefmilieu Brussel</w:t>
      </w:r>
      <w:r w:rsidRPr="009016B5">
        <w:rPr>
          <w:rFonts w:cs="Arial"/>
          <w:lang w:val="nl-NL"/>
        </w:rPr>
        <w:t xml:space="preserve"> ingezameld en komt overeen met de tonnages groenafval die verwerkt worden door compostering, in het kader van de activiteiten voor de huishoudens die het ondersteunt. </w:t>
      </w:r>
      <w:r w:rsidRPr="009016B5">
        <w:rPr>
          <w:rFonts w:cs="Arial"/>
          <w:sz w:val="24"/>
          <w:szCs w:val="24"/>
          <w:lang w:val="nl-NL"/>
        </w:rPr>
        <w:t>Bij gebrek aan gegevens wordt de tonnage van het boekjaar voorafgaand aan het jaar in kwestie gebruikt.</w:t>
      </w:r>
    </w:p>
    <w:tbl>
      <w:tblPr>
        <w:tblStyle w:val="Grilledutableau"/>
        <w:tblW w:w="0" w:type="auto"/>
        <w:tblInd w:w="0" w:type="dxa"/>
        <w:tblLook w:val="04A0" w:firstRow="1" w:lastRow="0" w:firstColumn="1" w:lastColumn="0" w:noHBand="0" w:noVBand="1"/>
      </w:tblPr>
      <w:tblGrid>
        <w:gridCol w:w="1809"/>
        <w:gridCol w:w="7371"/>
      </w:tblGrid>
      <w:tr w:rsidR="00B03D13" w:rsidRPr="00B03D13" w:rsidTr="000E703B">
        <w:tc>
          <w:tcPr>
            <w:tcW w:w="1809" w:type="dxa"/>
            <w:tcBorders>
              <w:top w:val="single" w:sz="4" w:space="0" w:color="auto"/>
              <w:left w:val="single" w:sz="4" w:space="0" w:color="auto"/>
              <w:bottom w:val="single" w:sz="4" w:space="0" w:color="auto"/>
              <w:right w:val="single" w:sz="4" w:space="0" w:color="auto"/>
            </w:tcBorders>
          </w:tcPr>
          <w:p w:rsidR="00B03D13" w:rsidRPr="009016B5" w:rsidRDefault="00B03D13" w:rsidP="000E703B">
            <w:pPr>
              <w:jc w:val="both"/>
              <w:rPr>
                <w:rFonts w:cs="Arial"/>
                <w:lang w:val="nl-NL"/>
              </w:rPr>
            </w:pPr>
          </w:p>
          <w:p w:rsidR="00B03D13" w:rsidRPr="009016B5" w:rsidRDefault="00B03D13" w:rsidP="000E703B">
            <w:pPr>
              <w:jc w:val="both"/>
              <w:rPr>
                <w:rFonts w:cs="Arial"/>
                <w:lang w:val="nl-NL"/>
              </w:rPr>
            </w:pPr>
            <w:r w:rsidRPr="009016B5">
              <w:rPr>
                <w:rFonts w:cs="Arial"/>
                <w:lang w:val="nl-NL"/>
              </w:rPr>
              <w:t>Referentie</w:t>
            </w:r>
          </w:p>
        </w:tc>
        <w:tc>
          <w:tcPr>
            <w:tcW w:w="7371"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b/>
                <w:lang w:val="nl-NL"/>
              </w:rPr>
            </w:pPr>
            <w:r w:rsidRPr="009016B5">
              <w:rPr>
                <w:rFonts w:cs="Arial"/>
                <w:b/>
                <w:lang w:val="nl-NL"/>
              </w:rPr>
              <w:t>Ander selectief ingezameld huishoudelijk afval</w:t>
            </w:r>
          </w:p>
        </w:tc>
      </w:tr>
      <w:tr w:rsidR="00B03D13" w:rsidRPr="00B03D13" w:rsidTr="000E703B">
        <w:tc>
          <w:tcPr>
            <w:tcW w:w="1809"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F</w:t>
            </w:r>
          </w:p>
        </w:tc>
        <w:tc>
          <w:tcPr>
            <w:tcW w:w="7371" w:type="dxa"/>
            <w:tcBorders>
              <w:top w:val="single" w:sz="4" w:space="0" w:color="auto"/>
              <w:left w:val="single" w:sz="4" w:space="0" w:color="auto"/>
              <w:bottom w:val="single" w:sz="4" w:space="0" w:color="auto"/>
              <w:right w:val="single" w:sz="4" w:space="0" w:color="auto"/>
            </w:tcBorders>
            <w:hideMark/>
          </w:tcPr>
          <w:p w:rsidR="00B03D13" w:rsidRPr="009016B5" w:rsidRDefault="00B03D13" w:rsidP="000E703B">
            <w:pPr>
              <w:jc w:val="both"/>
              <w:rPr>
                <w:rFonts w:cs="Arial"/>
                <w:lang w:val="nl-NL"/>
              </w:rPr>
            </w:pPr>
            <w:r w:rsidRPr="009016B5">
              <w:rPr>
                <w:rFonts w:cs="Arial"/>
                <w:lang w:val="nl-NL"/>
              </w:rPr>
              <w:t>Organische afvalstoffen die behandeld worden in wijkcomposteercentra</w:t>
            </w:r>
          </w:p>
        </w:tc>
      </w:tr>
    </w:tbl>
    <w:p w:rsidR="00B03D13" w:rsidRPr="00B03D13" w:rsidRDefault="00B03D13">
      <w:pPr>
        <w:rPr>
          <w:lang w:val="nl-BE"/>
        </w:rPr>
      </w:pPr>
    </w:p>
    <w:sectPr w:rsidR="00B03D13" w:rsidRPr="00B03D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13" w:rsidRDefault="00B03D13" w:rsidP="00B03D13">
      <w:pPr>
        <w:spacing w:after="0" w:line="240" w:lineRule="auto"/>
      </w:pPr>
      <w:r>
        <w:separator/>
      </w:r>
    </w:p>
  </w:endnote>
  <w:endnote w:type="continuationSeparator" w:id="0">
    <w:p w:rsidR="00B03D13" w:rsidRDefault="00B03D13" w:rsidP="00B0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153273"/>
      <w:docPartObj>
        <w:docPartGallery w:val="Page Numbers (Bottom of Page)"/>
        <w:docPartUnique/>
      </w:docPartObj>
    </w:sdtPr>
    <w:sdtContent>
      <w:p w:rsidR="00B03D13" w:rsidRDefault="00B03D13">
        <w:pPr>
          <w:pStyle w:val="Pieddepage"/>
        </w:pPr>
        <w:r>
          <w:fldChar w:fldCharType="begin"/>
        </w:r>
        <w:r>
          <w:instrText>PAGE   \* MERGEFORMAT</w:instrText>
        </w:r>
        <w:r>
          <w:fldChar w:fldCharType="separate"/>
        </w:r>
        <w:r w:rsidRPr="00B03D13">
          <w:rPr>
            <w:noProof/>
            <w:lang w:val="fr-FR"/>
          </w:rPr>
          <w:t>1</w:t>
        </w:r>
        <w:r>
          <w:fldChar w:fldCharType="end"/>
        </w:r>
      </w:p>
    </w:sdtContent>
  </w:sdt>
  <w:p w:rsidR="00B03D13" w:rsidRDefault="00B03D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13" w:rsidRDefault="00B03D13" w:rsidP="00B03D13">
      <w:pPr>
        <w:spacing w:after="0" w:line="240" w:lineRule="auto"/>
      </w:pPr>
      <w:r>
        <w:separator/>
      </w:r>
    </w:p>
  </w:footnote>
  <w:footnote w:type="continuationSeparator" w:id="0">
    <w:p w:rsidR="00B03D13" w:rsidRDefault="00B03D13" w:rsidP="00B03D13">
      <w:pPr>
        <w:spacing w:after="0" w:line="240" w:lineRule="auto"/>
      </w:pPr>
      <w:r>
        <w:continuationSeparator/>
      </w:r>
    </w:p>
  </w:footnote>
  <w:footnote w:id="1">
    <w:p w:rsidR="00B03D13" w:rsidRPr="00CB6A7B" w:rsidRDefault="00B03D13" w:rsidP="00B03D13">
      <w:pPr>
        <w:pStyle w:val="Notedebasdepage"/>
        <w:rPr>
          <w:lang w:val="nl-NL"/>
        </w:rPr>
      </w:pPr>
      <w:r>
        <w:rPr>
          <w:rStyle w:val="Appelnotedebasdep"/>
        </w:rPr>
        <w:footnoteRef/>
      </w:r>
      <w:r w:rsidRPr="00CB6A7B">
        <w:rPr>
          <w:lang w:val="nl-BE"/>
        </w:rPr>
        <w:t xml:space="preserve"> </w:t>
      </w:r>
      <w:r w:rsidRPr="000755CC">
        <w:rPr>
          <w:lang w:val="nl-BE"/>
        </w:rPr>
        <w:t>Gelieve uitsluitend professionele contactgegevens door te geven.</w:t>
      </w:r>
    </w:p>
  </w:footnote>
  <w:footnote w:id="2">
    <w:p w:rsidR="00B03D13" w:rsidRPr="0004770D" w:rsidRDefault="00B03D13" w:rsidP="00B03D13">
      <w:pPr>
        <w:pStyle w:val="Notedebasdepage"/>
        <w:rPr>
          <w:lang w:val="nl-NL"/>
        </w:rPr>
      </w:pPr>
      <w:r>
        <w:rPr>
          <w:rStyle w:val="Appelnotedebasdep"/>
          <w:lang w:val="nl-NL"/>
        </w:rPr>
        <w:footnoteRef/>
      </w:r>
      <w:r>
        <w:rPr>
          <w:lang w:val="nl-NL"/>
        </w:rPr>
        <w:t xml:space="preserve"> Dit gegeven wordt vooraf door Leefmilieu Brussel ingevuld op het formulier dat naar de belastingplichtige opgestuurd wordt.</w:t>
      </w:r>
    </w:p>
  </w:footnote>
  <w:footnote w:id="3">
    <w:p w:rsidR="00B03D13" w:rsidRDefault="00B03D13" w:rsidP="00B03D13">
      <w:pPr>
        <w:pStyle w:val="Notedebasdepage"/>
      </w:pPr>
      <w:r>
        <w:rPr>
          <w:rStyle w:val="Appelnotedebasdep"/>
          <w:lang w:val="nl-NL"/>
        </w:rPr>
        <w:footnoteRef/>
      </w:r>
      <w:r>
        <w:rPr>
          <w:lang w:val="nl-NL"/>
        </w:rPr>
        <w:t xml:space="preserve"> Idem </w:t>
      </w:r>
    </w:p>
  </w:footnote>
  <w:footnote w:id="4">
    <w:p w:rsidR="00B03D13" w:rsidRDefault="00B03D13" w:rsidP="00B03D13">
      <w:pPr>
        <w:pStyle w:val="Notedebasdepage"/>
      </w:pPr>
      <w:r>
        <w:rPr>
          <w:rStyle w:val="Appelnotedebasdep"/>
          <w:lang w:val="nl-NL"/>
        </w:rPr>
        <w:footnoteRef/>
      </w:r>
      <w:r>
        <w:rPr>
          <w:lang w:val="nl-NL"/>
        </w:rPr>
        <w:t xml:space="preserve"> Idem</w:t>
      </w:r>
    </w:p>
  </w:footnote>
  <w:footnote w:id="5">
    <w:p w:rsidR="00B03D13" w:rsidRDefault="00B03D13" w:rsidP="00B03D13">
      <w:pPr>
        <w:pStyle w:val="Notedebasdepage"/>
      </w:pPr>
      <w:r>
        <w:rPr>
          <w:rStyle w:val="Appelnotedebasdep"/>
          <w:lang w:val="nl-NL"/>
        </w:rPr>
        <w:footnoteRef/>
      </w:r>
      <w:r>
        <w:rPr>
          <w:lang w:val="nl-NL"/>
        </w:rP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AA3"/>
    <w:multiLevelType w:val="hybridMultilevel"/>
    <w:tmpl w:val="5E2C49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97B03"/>
    <w:multiLevelType w:val="hybridMultilevel"/>
    <w:tmpl w:val="15F81A04"/>
    <w:lvl w:ilvl="0" w:tplc="080C000F">
      <w:start w:val="1"/>
      <w:numFmt w:val="decimal"/>
      <w:lvlText w:val="%1."/>
      <w:lvlJc w:val="left"/>
      <w:pPr>
        <w:ind w:left="1506" w:hanging="360"/>
      </w:pPr>
      <w:rPr>
        <w:rFonts w:cs="Times New Roman" w:hint="default"/>
      </w:rPr>
    </w:lvl>
    <w:lvl w:ilvl="1" w:tplc="080C0019" w:tentative="1">
      <w:start w:val="1"/>
      <w:numFmt w:val="lowerLetter"/>
      <w:lvlText w:val="%2."/>
      <w:lvlJc w:val="left"/>
      <w:pPr>
        <w:ind w:left="2226" w:hanging="360"/>
      </w:pPr>
      <w:rPr>
        <w:rFonts w:cs="Times New Roman"/>
      </w:rPr>
    </w:lvl>
    <w:lvl w:ilvl="2" w:tplc="080C001B" w:tentative="1">
      <w:start w:val="1"/>
      <w:numFmt w:val="lowerRoman"/>
      <w:lvlText w:val="%3."/>
      <w:lvlJc w:val="right"/>
      <w:pPr>
        <w:ind w:left="2946" w:hanging="180"/>
      </w:pPr>
      <w:rPr>
        <w:rFonts w:cs="Times New Roman"/>
      </w:rPr>
    </w:lvl>
    <w:lvl w:ilvl="3" w:tplc="080C000F" w:tentative="1">
      <w:start w:val="1"/>
      <w:numFmt w:val="decimal"/>
      <w:lvlText w:val="%4."/>
      <w:lvlJc w:val="left"/>
      <w:pPr>
        <w:ind w:left="3666" w:hanging="360"/>
      </w:pPr>
      <w:rPr>
        <w:rFonts w:cs="Times New Roman"/>
      </w:rPr>
    </w:lvl>
    <w:lvl w:ilvl="4" w:tplc="080C0019" w:tentative="1">
      <w:start w:val="1"/>
      <w:numFmt w:val="lowerLetter"/>
      <w:lvlText w:val="%5."/>
      <w:lvlJc w:val="left"/>
      <w:pPr>
        <w:ind w:left="4386" w:hanging="360"/>
      </w:pPr>
      <w:rPr>
        <w:rFonts w:cs="Times New Roman"/>
      </w:rPr>
    </w:lvl>
    <w:lvl w:ilvl="5" w:tplc="080C001B" w:tentative="1">
      <w:start w:val="1"/>
      <w:numFmt w:val="lowerRoman"/>
      <w:lvlText w:val="%6."/>
      <w:lvlJc w:val="right"/>
      <w:pPr>
        <w:ind w:left="5106" w:hanging="180"/>
      </w:pPr>
      <w:rPr>
        <w:rFonts w:cs="Times New Roman"/>
      </w:rPr>
    </w:lvl>
    <w:lvl w:ilvl="6" w:tplc="080C000F" w:tentative="1">
      <w:start w:val="1"/>
      <w:numFmt w:val="decimal"/>
      <w:lvlText w:val="%7."/>
      <w:lvlJc w:val="left"/>
      <w:pPr>
        <w:ind w:left="5826" w:hanging="360"/>
      </w:pPr>
      <w:rPr>
        <w:rFonts w:cs="Times New Roman"/>
      </w:rPr>
    </w:lvl>
    <w:lvl w:ilvl="7" w:tplc="080C0019" w:tentative="1">
      <w:start w:val="1"/>
      <w:numFmt w:val="lowerLetter"/>
      <w:lvlText w:val="%8."/>
      <w:lvlJc w:val="left"/>
      <w:pPr>
        <w:ind w:left="6546" w:hanging="360"/>
      </w:pPr>
      <w:rPr>
        <w:rFonts w:cs="Times New Roman"/>
      </w:rPr>
    </w:lvl>
    <w:lvl w:ilvl="8" w:tplc="080C001B" w:tentative="1">
      <w:start w:val="1"/>
      <w:numFmt w:val="lowerRoman"/>
      <w:lvlText w:val="%9."/>
      <w:lvlJc w:val="right"/>
      <w:pPr>
        <w:ind w:left="7266" w:hanging="180"/>
      </w:pPr>
      <w:rPr>
        <w:rFonts w:cs="Times New Roman"/>
      </w:rPr>
    </w:lvl>
  </w:abstractNum>
  <w:abstractNum w:abstractNumId="2" w15:restartNumberingAfterBreak="0">
    <w:nsid w:val="19214C0E"/>
    <w:multiLevelType w:val="hybridMultilevel"/>
    <w:tmpl w:val="D8A84CE2"/>
    <w:lvl w:ilvl="0" w:tplc="EAF2F6BE">
      <w:start w:val="40"/>
      <w:numFmt w:val="bullet"/>
      <w:lvlText w:val=""/>
      <w:lvlJc w:val="left"/>
      <w:pPr>
        <w:ind w:left="1065" w:hanging="360"/>
      </w:pPr>
      <w:rPr>
        <w:rFonts w:ascii="Wingdings" w:eastAsia="Times New Roman" w:hAnsi="Wingdings" w:hint="default"/>
      </w:rPr>
    </w:lvl>
    <w:lvl w:ilvl="1" w:tplc="040C0001">
      <w:start w:val="1"/>
      <w:numFmt w:val="bullet"/>
      <w:lvlText w:val=""/>
      <w:lvlJc w:val="left"/>
      <w:pPr>
        <w:tabs>
          <w:tab w:val="num" w:pos="1785"/>
        </w:tabs>
        <w:ind w:left="1785" w:hanging="360"/>
      </w:pPr>
      <w:rPr>
        <w:rFonts w:ascii="Symbol" w:hAnsi="Symbol"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3" w15:restartNumberingAfterBreak="0">
    <w:nsid w:val="38DD4690"/>
    <w:multiLevelType w:val="hybridMultilevel"/>
    <w:tmpl w:val="59E4D346"/>
    <w:lvl w:ilvl="0" w:tplc="797E6DA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A13356C"/>
    <w:multiLevelType w:val="hybridMultilevel"/>
    <w:tmpl w:val="BD2CD60A"/>
    <w:lvl w:ilvl="0" w:tplc="080C0001">
      <w:start w:val="1"/>
      <w:numFmt w:val="bullet"/>
      <w:lvlText w:val=""/>
      <w:lvlJc w:val="left"/>
      <w:pPr>
        <w:ind w:left="1506" w:hanging="360"/>
      </w:pPr>
      <w:rPr>
        <w:rFonts w:ascii="Symbol" w:hAnsi="Symbol" w:hint="default"/>
      </w:rPr>
    </w:lvl>
    <w:lvl w:ilvl="1" w:tplc="080C0019">
      <w:start w:val="1"/>
      <w:numFmt w:val="lowerLetter"/>
      <w:lvlText w:val="%2."/>
      <w:lvlJc w:val="left"/>
      <w:pPr>
        <w:ind w:left="2226" w:hanging="360"/>
      </w:pPr>
      <w:rPr>
        <w:rFonts w:cs="Times New Roman"/>
      </w:rPr>
    </w:lvl>
    <w:lvl w:ilvl="2" w:tplc="60CC063C">
      <w:start w:val="1"/>
      <w:numFmt w:val="lowerLetter"/>
      <w:lvlText w:val="%3)"/>
      <w:lvlJc w:val="left"/>
      <w:pPr>
        <w:ind w:left="3126" w:hanging="360"/>
      </w:pPr>
      <w:rPr>
        <w:rFonts w:hint="default"/>
      </w:rPr>
    </w:lvl>
    <w:lvl w:ilvl="3" w:tplc="F0741992">
      <w:start w:val="1"/>
      <w:numFmt w:val="bullet"/>
      <w:lvlText w:val="-"/>
      <w:lvlJc w:val="left"/>
      <w:pPr>
        <w:ind w:left="3666" w:hanging="360"/>
      </w:pPr>
      <w:rPr>
        <w:rFonts w:ascii="Arial" w:eastAsia="Calibri" w:hAnsi="Arial" w:cs="Arial" w:hint="default"/>
      </w:rPr>
    </w:lvl>
    <w:lvl w:ilvl="4" w:tplc="080C0019" w:tentative="1">
      <w:start w:val="1"/>
      <w:numFmt w:val="lowerLetter"/>
      <w:lvlText w:val="%5."/>
      <w:lvlJc w:val="left"/>
      <w:pPr>
        <w:ind w:left="4386" w:hanging="360"/>
      </w:pPr>
      <w:rPr>
        <w:rFonts w:cs="Times New Roman"/>
      </w:rPr>
    </w:lvl>
    <w:lvl w:ilvl="5" w:tplc="080C001B" w:tentative="1">
      <w:start w:val="1"/>
      <w:numFmt w:val="lowerRoman"/>
      <w:lvlText w:val="%6."/>
      <w:lvlJc w:val="right"/>
      <w:pPr>
        <w:ind w:left="5106" w:hanging="180"/>
      </w:pPr>
      <w:rPr>
        <w:rFonts w:cs="Times New Roman"/>
      </w:rPr>
    </w:lvl>
    <w:lvl w:ilvl="6" w:tplc="080C000F" w:tentative="1">
      <w:start w:val="1"/>
      <w:numFmt w:val="decimal"/>
      <w:lvlText w:val="%7."/>
      <w:lvlJc w:val="left"/>
      <w:pPr>
        <w:ind w:left="5826" w:hanging="360"/>
      </w:pPr>
      <w:rPr>
        <w:rFonts w:cs="Times New Roman"/>
      </w:rPr>
    </w:lvl>
    <w:lvl w:ilvl="7" w:tplc="080C0019" w:tentative="1">
      <w:start w:val="1"/>
      <w:numFmt w:val="lowerLetter"/>
      <w:lvlText w:val="%8."/>
      <w:lvlJc w:val="left"/>
      <w:pPr>
        <w:ind w:left="6546" w:hanging="360"/>
      </w:pPr>
      <w:rPr>
        <w:rFonts w:cs="Times New Roman"/>
      </w:rPr>
    </w:lvl>
    <w:lvl w:ilvl="8" w:tplc="080C001B" w:tentative="1">
      <w:start w:val="1"/>
      <w:numFmt w:val="lowerRoman"/>
      <w:lvlText w:val="%9."/>
      <w:lvlJc w:val="right"/>
      <w:pPr>
        <w:ind w:left="7266"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3"/>
    <w:rsid w:val="00B03D13"/>
    <w:rsid w:val="00EF4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0354F-A495-4E7E-9BEB-F731BDFB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13"/>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34"/>
    <w:qFormat/>
    <w:rsid w:val="00B03D13"/>
    <w:pPr>
      <w:ind w:left="720"/>
      <w:contextualSpacing/>
    </w:pPr>
    <w:rPr>
      <w:rFonts w:ascii="Calibri" w:eastAsia="Calibri" w:hAnsi="Calibri" w:cs="Times New Roman"/>
    </w:rPr>
  </w:style>
  <w:style w:type="paragraph" w:styleId="Notedebasdepage">
    <w:name w:val="footnote text"/>
    <w:basedOn w:val="Normal"/>
    <w:link w:val="NotedebasdepageCar"/>
    <w:uiPriority w:val="99"/>
    <w:semiHidden/>
    <w:rsid w:val="00B03D13"/>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B03D13"/>
    <w:rPr>
      <w:rFonts w:ascii="Calibri" w:eastAsia="Calibri" w:hAnsi="Calibri" w:cs="Times New Roman"/>
      <w:sz w:val="20"/>
      <w:szCs w:val="20"/>
      <w:lang w:val="fr-BE"/>
    </w:rPr>
  </w:style>
  <w:style w:type="character" w:styleId="Appelnotedebasdep">
    <w:name w:val="footnote reference"/>
    <w:basedOn w:val="Policepardfaut"/>
    <w:uiPriority w:val="99"/>
    <w:semiHidden/>
    <w:rsid w:val="00B03D13"/>
    <w:rPr>
      <w:rFonts w:cs="Times New Roman"/>
      <w:vertAlign w:val="superscript"/>
    </w:rPr>
  </w:style>
  <w:style w:type="paragraph" w:customStyle="1" w:styleId="Default">
    <w:name w:val="Default"/>
    <w:rsid w:val="00B03D13"/>
    <w:pPr>
      <w:autoSpaceDE w:val="0"/>
      <w:autoSpaceDN w:val="0"/>
      <w:adjustRightInd w:val="0"/>
      <w:spacing w:after="0" w:line="240" w:lineRule="auto"/>
    </w:pPr>
    <w:rPr>
      <w:rFonts w:ascii="Arial" w:eastAsia="Calibri" w:hAnsi="Arial" w:cs="Arial"/>
      <w:color w:val="000000"/>
      <w:sz w:val="24"/>
      <w:szCs w:val="24"/>
      <w:lang w:val="fr-BE"/>
    </w:rPr>
  </w:style>
  <w:style w:type="table" w:styleId="Grilledutableau">
    <w:name w:val="Table Grid"/>
    <w:basedOn w:val="TableauNormal"/>
    <w:uiPriority w:val="59"/>
    <w:rsid w:val="00B03D13"/>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34"/>
    <w:locked/>
    <w:rsid w:val="00B03D13"/>
    <w:rPr>
      <w:rFonts w:ascii="Calibri" w:eastAsia="Calibri" w:hAnsi="Calibri" w:cs="Times New Roman"/>
      <w:lang w:val="fr-BE"/>
    </w:rPr>
  </w:style>
  <w:style w:type="paragraph" w:styleId="En-tte">
    <w:name w:val="header"/>
    <w:basedOn w:val="Normal"/>
    <w:link w:val="En-tteCar"/>
    <w:uiPriority w:val="99"/>
    <w:unhideWhenUsed/>
    <w:rsid w:val="00B03D13"/>
    <w:pPr>
      <w:tabs>
        <w:tab w:val="center" w:pos="4536"/>
        <w:tab w:val="right" w:pos="9072"/>
      </w:tabs>
      <w:spacing w:after="0" w:line="240" w:lineRule="auto"/>
    </w:pPr>
  </w:style>
  <w:style w:type="character" w:customStyle="1" w:styleId="En-tteCar">
    <w:name w:val="En-tête Car"/>
    <w:basedOn w:val="Policepardfaut"/>
    <w:link w:val="En-tte"/>
    <w:uiPriority w:val="99"/>
    <w:rsid w:val="00B03D13"/>
    <w:rPr>
      <w:lang w:val="fr-BE"/>
    </w:rPr>
  </w:style>
  <w:style w:type="paragraph" w:styleId="Pieddepage">
    <w:name w:val="footer"/>
    <w:basedOn w:val="Normal"/>
    <w:link w:val="PieddepageCar"/>
    <w:uiPriority w:val="99"/>
    <w:unhideWhenUsed/>
    <w:rsid w:val="00B03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D13"/>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69A0-0EEF-4605-8455-5074FC1C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2553</Words>
  <Characters>14044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DOMB</dc:creator>
  <cp:keywords/>
  <dc:description/>
  <cp:lastModifiedBy>Laetitia DOMB</cp:lastModifiedBy>
  <cp:revision>1</cp:revision>
  <dcterms:created xsi:type="dcterms:W3CDTF">2019-06-27T08:21:00Z</dcterms:created>
  <dcterms:modified xsi:type="dcterms:W3CDTF">2019-06-27T08:31:00Z</dcterms:modified>
</cp:coreProperties>
</file>